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871" w:firstLineChars="200"/>
        <w:jc w:val="center"/>
        <w:rPr>
          <w:rFonts w:ascii="仿宋" w:hAnsi="仿宋" w:eastAsia="仿宋" w:cs="仿宋"/>
          <w:b/>
          <w:bCs/>
          <w:sz w:val="44"/>
          <w:szCs w:val="44"/>
        </w:rPr>
      </w:pPr>
      <w:r>
        <w:rPr>
          <w:rFonts w:hint="eastAsia" w:ascii="宋体" w:hAnsi="宋体" w:eastAsia="宋体" w:cs="宋体"/>
          <w:b/>
          <w:bCs/>
          <w:spacing w:val="-3"/>
          <w:sz w:val="44"/>
          <w:szCs w:val="44"/>
        </w:rPr>
        <w:t>新洲区道观河风景旅游区2022年政府信息公开工作年度报告</w:t>
      </w:r>
    </w:p>
    <w:p>
      <w:pPr>
        <w:spacing w:line="520" w:lineRule="exact"/>
        <w:ind w:firstLine="640" w:firstLineChars="200"/>
        <w:rPr>
          <w:rFonts w:hint="eastAsia" w:ascii="仿宋" w:hAnsi="仿宋" w:eastAsia="仿宋" w:cs="仿宋"/>
          <w:sz w:val="32"/>
          <w:szCs w:val="32"/>
        </w:rPr>
      </w:pP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为深入贯彻《中华人民共和国政府信息公开条例》（国令第771号），落实《国务院办公厅政府信息与政务公开办公室关于政府信息公开工作年度报告有关事项的通知》（国办公开办函〔2019〕60 号）有关要求和省、市、区相关规定，特向社会公布202</w:t>
      </w:r>
      <w:r>
        <w:rPr>
          <w:rFonts w:hint="eastAsia" w:ascii="仿宋" w:hAnsi="仿宋" w:eastAsia="仿宋" w:cs="仿宋"/>
          <w:sz w:val="32"/>
          <w:szCs w:val="32"/>
          <w:lang w:val="en-US" w:eastAsia="zh-CN"/>
        </w:rPr>
        <w:t>2</w:t>
      </w:r>
      <w:r>
        <w:rPr>
          <w:rFonts w:hint="eastAsia" w:ascii="仿宋" w:hAnsi="仿宋" w:eastAsia="仿宋" w:cs="仿宋"/>
          <w:sz w:val="32"/>
          <w:szCs w:val="32"/>
        </w:rPr>
        <w:t>年新洲区道观河管理处信息公开工作年度报告。</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本报告包括总体情况、主动公开政府信息情况、收到和处理政府信息公开申请情况、政府信息公开行政复议和行政诉讼情况、存在的主要问题及改进情况、其他需要报告的事项等六个部分。除特别说明外，报告中所列数据统计时限均为 2022年 1 月 1 日至 2022 年 12 月 31 日 。 如对本报告有任何疑问 ，请与道观河党政办公室联系 ，联系电 话:027-89530635。</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一、总体情况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2022年，道观河深入学习贯彻习近平新时代中国特色社会主义思想，认真落实国家和省、市、区关于政务公开和政府信息公开的有关要求，坚持以公开为常态、不公开为例外的原则，积极做好政策解读，及时回应社会关切，依法做好政府信息依申请公开，不断提高政府工作透明度和公信力，较好服务了经济社会发展，保障了人民群众依法行使知情权。</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道观河的政府信息公开工作严格按照《条例》和上级部门的总体要求，妥善处理公开与保密的关系，合理界定信息公开范围，做到积极稳妥、及时准确，公开、公正、便民。主要通过机关公示栏、政务服务中心、信访办、微信工作群、村(社区)公示栏、户外显示屏等多种公开形式进行信息公开。</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二、主动公开政府信息情况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2022 年，道观河按照《条例》第二十条规定，对相关信息进行了公示: 其中领导成员及分工、机构职能、内设机构、办公地址、联系方式及部门预决算、“三公”经费支出决算情况等信息在新洲区政府门户网站进行了政务公开;重大建设项目的批准和实施情况，乡村振兴、文化教育、医疗、社会保障、旅游产业、红色阵地建设等方面的政策、措施及其实施情况，均在相关部门、辖区各村(社区)公示栏予以了适当公开;对生态环境、公共卫生、安全生产、食品药品、产品质量等工作的监督检查情况在管理处工作群予以了及时公开。</w:t>
      </w:r>
    </w:p>
    <w:tbl>
      <w:tblPr>
        <w:tblStyle w:val="5"/>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jc w:val="center"/>
            </w:pPr>
            <w:r>
              <w:rPr>
                <w:rFonts w:hint="eastAsia" w:ascii="宋体" w:hAnsi="宋体" w:eastAsia="宋体" w:cs="宋体"/>
                <w:sz w:val="20"/>
                <w:szCs w:val="20"/>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ascii="Calibri" w:hAnsi="Calibri" w:cs="Calibri" w:eastAsiaTheme="minorEastAsia"/>
              </w:rPr>
              <w:t> </w:t>
            </w:r>
            <w:r>
              <w:rPr>
                <w:rFonts w:hint="eastAsia" w:ascii="Calibri" w:hAnsi="Calibri" w:cs="Calibri" w:eastAsiaTheme="minorEastAsia"/>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ascii="Calibri" w:hAnsi="Calibri" w:cs="Calibri" w:eastAsiaTheme="minorEastAsia"/>
              </w:rPr>
              <w:t> </w:t>
            </w:r>
            <w:r>
              <w:rPr>
                <w:rFonts w:hint="eastAsia" w:ascii="Calibri" w:hAnsi="Calibri" w:cs="Calibri" w:eastAsiaTheme="minorEastAsia"/>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jc w:val="center"/>
            </w:pPr>
            <w:r>
              <w:rPr>
                <w:rFonts w:hint="eastAsia" w:ascii="宋体" w:hAnsi="宋体" w:eastAsia="宋体" w:cs="宋体"/>
                <w:sz w:val="20"/>
                <w:szCs w:val="20"/>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eastAsiaTheme="minorEastAsia"/>
                <w:lang w:val="en-US" w:eastAsia="zh-CN"/>
              </w:rPr>
            </w:pPr>
            <w:r>
              <w:rPr>
                <w:rFonts w:ascii="Calibri" w:hAnsi="Calibri" w:cs="Calibri" w:eastAsiaTheme="minorEastAsia"/>
              </w:rPr>
              <w:t> </w:t>
            </w:r>
            <w:r>
              <w:rPr>
                <w:rFonts w:hint="eastAsia" w:ascii="Calibri" w:hAnsi="Calibri" w:cs="Calibri" w:eastAsiaTheme="minorEastAsia"/>
                <w:lang w:val="en-US" w:eastAsia="zh-CN"/>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jc w:val="center"/>
            </w:pPr>
            <w:r>
              <w:rPr>
                <w:rFonts w:hint="eastAsia" w:ascii="宋体" w:hAnsi="宋体" w:eastAsia="宋体" w:cs="宋体"/>
                <w:sz w:val="20"/>
                <w:szCs w:val="20"/>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jc w:val="center"/>
            </w:pPr>
            <w:r>
              <w:rPr>
                <w:rFonts w:hint="eastAsia" w:ascii="宋体" w:hAnsi="宋体" w:eastAsia="宋体" w:cs="宋体"/>
                <w:sz w:val="20"/>
                <w:szCs w:val="20"/>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ascii="宋体" w:eastAsia="宋体"/>
                <w:sz w:val="24"/>
                <w:szCs w:val="24"/>
              </w:rPr>
            </w:pPr>
            <w:r>
              <w:rPr>
                <w:rFonts w:hint="eastAsia" w:ascii="宋体" w:eastAsia="宋体"/>
                <w:sz w:val="24"/>
                <w:szCs w:val="24"/>
              </w:rPr>
              <w:t>0</w:t>
            </w:r>
          </w:p>
        </w:tc>
      </w:tr>
    </w:tbl>
    <w:p>
      <w:pPr>
        <w:pStyle w:val="4"/>
        <w:shd w:val="clear" w:color="auto" w:fill="FFFFFF"/>
        <w:spacing w:beforeAutospacing="0" w:afterAutospacing="0"/>
        <w:ind w:firstLine="420"/>
        <w:jc w:val="both"/>
        <w:rPr>
          <w:rFonts w:ascii="仿宋" w:hAnsi="仿宋" w:eastAsia="仿宋" w:cs="仿宋"/>
          <w:b/>
          <w:bCs/>
          <w:color w:val="333333"/>
          <w:sz w:val="32"/>
          <w:szCs w:val="32"/>
        </w:rPr>
      </w:pPr>
      <w:r>
        <w:rPr>
          <w:rFonts w:hint="eastAsia" w:ascii="仿宋" w:hAnsi="仿宋" w:eastAsia="仿宋" w:cs="仿宋"/>
          <w:b/>
          <w:bCs/>
          <w:color w:val="333333"/>
          <w:sz w:val="32"/>
          <w:szCs w:val="32"/>
          <w:shd w:val="clear" w:color="auto" w:fill="FFFFFF"/>
        </w:rPr>
        <w:t>三、收到和处理政府信息公开申请情况</w:t>
      </w:r>
    </w:p>
    <w:p>
      <w:pPr>
        <w:pStyle w:val="4"/>
        <w:shd w:val="clear" w:color="auto" w:fill="FFFFFF"/>
        <w:spacing w:beforeAutospacing="0" w:afterAutospacing="0"/>
        <w:ind w:firstLine="420"/>
        <w:jc w:val="both"/>
        <w:rPr>
          <w:rFonts w:ascii="宋体" w:hAnsi="宋体" w:eastAsia="宋体" w:cs="宋体"/>
          <w:color w:val="333333"/>
          <w:szCs w:val="24"/>
        </w:rP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r>
              <w:rPr>
                <w:rFonts w:ascii="楷体" w:hAnsi="楷体" w:eastAsia="楷体" w:cs="楷体"/>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68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商业</w:t>
            </w:r>
          </w:p>
          <w:p>
            <w:pPr>
              <w:jc w:val="center"/>
            </w:pPr>
            <w:r>
              <w:rPr>
                <w:rFonts w:hint="eastAsia" w:ascii="宋体" w:hAnsi="宋体" w:eastAsia="宋体" w:cs="宋体"/>
                <w:sz w:val="20"/>
                <w:szCs w:val="20"/>
              </w:rPr>
              <w:t>企业</w:t>
            </w:r>
          </w:p>
        </w:tc>
        <w:tc>
          <w:tcPr>
            <w:tcW w:w="68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科研</w:t>
            </w:r>
          </w:p>
          <w:p>
            <w:pPr>
              <w:jc w:val="center"/>
            </w:pPr>
            <w:r>
              <w:rPr>
                <w:rFonts w:hint="eastAsia" w:ascii="宋体" w:hAnsi="宋体" w:eastAsia="宋体" w:cs="宋体"/>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（二）部分公开</w:t>
            </w:r>
            <w:r>
              <w:rPr>
                <w:rFonts w:hint="eastAsia" w:ascii="楷体" w:hAnsi="楷体" w:eastAsia="楷体" w:cs="楷体"/>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jc w:val="both"/>
            </w:pPr>
            <w:r>
              <w:rPr>
                <w:rFonts w:hint="eastAsia" w:ascii="宋体" w:hAnsi="宋体" w:eastAsia="宋体" w:cs="宋体"/>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jc w:val="both"/>
            </w:pPr>
            <w:r>
              <w:rPr>
                <w:rFonts w:hint="eastAsia" w:ascii="宋体" w:hAnsi="宋体" w:eastAsia="宋体" w:cs="宋体"/>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bookmarkStart w:id="0" w:name="_GoBack" w:colFirst="3" w:colLast="9"/>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jc w:val="both"/>
            </w:pPr>
            <w:r>
              <w:rPr>
                <w:rFonts w:hint="eastAsia" w:ascii="宋体" w:hAnsi="宋体" w:eastAsia="宋体" w:cs="宋体"/>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bookmarkEnd w:id="0"/>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rPr>
                <w:rFonts w:ascii="宋体" w:eastAsia="宋体"/>
                <w:sz w:val="24"/>
                <w:szCs w:val="24"/>
              </w:rPr>
            </w:pPr>
            <w:r>
              <w:rPr>
                <w:rFonts w:hint="eastAsia" w:ascii="宋体" w:eastAsia="宋体"/>
                <w:sz w:val="24"/>
                <w:szCs w:val="24"/>
              </w:rPr>
              <w:t>0</w:t>
            </w:r>
          </w:p>
        </w:tc>
      </w:tr>
    </w:tbl>
    <w:p>
      <w:pPr>
        <w:shd w:val="clear" w:color="auto" w:fill="FFFFFF"/>
        <w:jc w:val="center"/>
        <w:rPr>
          <w:rFonts w:ascii="宋体" w:hAnsi="宋体" w:eastAsia="宋体" w:cs="宋体"/>
          <w:color w:val="333333"/>
          <w:sz w:val="24"/>
          <w:szCs w:val="24"/>
        </w:rPr>
      </w:pPr>
    </w:p>
    <w:p>
      <w:pPr>
        <w:pStyle w:val="4"/>
        <w:shd w:val="clear" w:color="auto" w:fill="FFFFFF"/>
        <w:spacing w:beforeAutospacing="0" w:afterAutospacing="0"/>
        <w:ind w:firstLine="420"/>
        <w:jc w:val="both"/>
        <w:rPr>
          <w:rFonts w:ascii="仿宋" w:hAnsi="仿宋" w:eastAsia="仿宋" w:cs="仿宋"/>
          <w:b/>
          <w:bCs/>
          <w:color w:val="333333"/>
          <w:sz w:val="32"/>
          <w:szCs w:val="32"/>
        </w:rPr>
      </w:pPr>
      <w:r>
        <w:rPr>
          <w:rFonts w:hint="eastAsia" w:ascii="仿宋" w:hAnsi="仿宋" w:eastAsia="仿宋" w:cs="仿宋"/>
          <w:b/>
          <w:bCs/>
          <w:color w:val="333333"/>
          <w:sz w:val="32"/>
          <w:szCs w:val="32"/>
          <w:shd w:val="clear" w:color="auto" w:fill="FFFFFF"/>
        </w:rPr>
        <w:t>四、政府信息公开行政复议、行政诉讼情况</w:t>
      </w:r>
    </w:p>
    <w:p>
      <w:pPr>
        <w:shd w:val="clear" w:color="auto" w:fill="FFFFFF"/>
        <w:jc w:val="center"/>
        <w:rPr>
          <w:rFonts w:ascii="宋体" w:hAnsi="宋体" w:eastAsia="宋体" w:cs="宋体"/>
          <w:color w:val="333333"/>
          <w:sz w:val="24"/>
          <w:szCs w:val="24"/>
        </w:rP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ascii="黑体" w:hAnsi="宋体" w:eastAsia="黑体" w:cs="黑体"/>
                <w:sz w:val="20"/>
                <w:szCs w:val="20"/>
              </w:rPr>
              <w:t> </w:t>
            </w:r>
            <w:r>
              <w:rPr>
                <w:rFonts w:hint="eastAsia" w:ascii="黑体" w:hAnsi="宋体" w:eastAsia="黑体" w:cs="黑体"/>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eastAsia="宋体"/>
                <w:sz w:val="24"/>
                <w:szCs w:val="24"/>
              </w:rPr>
            </w:pPr>
            <w:r>
              <w:rPr>
                <w:rFonts w:hint="eastAsia" w:ascii="宋体" w:eastAsia="宋体"/>
                <w:sz w:val="24"/>
                <w:szCs w:val="24"/>
              </w:rPr>
              <w:t>0</w:t>
            </w:r>
          </w:p>
        </w:tc>
      </w:tr>
    </w:tbl>
    <w:p>
      <w:pPr>
        <w:spacing w:line="520" w:lineRule="exact"/>
        <w:ind w:firstLine="640" w:firstLineChars="200"/>
        <w:rPr>
          <w:rFonts w:ascii="仿宋" w:hAnsi="仿宋" w:eastAsia="仿宋" w:cs="仿宋"/>
          <w:sz w:val="32"/>
          <w:szCs w:val="32"/>
        </w:rPr>
      </w:pP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五、政府信息公开工作存在的问题及改进情况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2022 年，道观河政府信息公开工作取得了一定的成效，但也存在一些问题和不足。一是站位不够高。个别部门和单位对政务公开工作不够重视，思想认识偏颇，导致信息公开工作开展力度不大。二是队伍偏弱，特别是具体从事政府信息公开工作人员力量有待进一步充实，业务能力有待提高。三是政府信息公开涉及面广、政策性强，信息公开时效性有待进一步提高，公开形式不够丰富，公开格式不统一。</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下一步措施:</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1.加强领导，健全组织保障。管理处成立政务公开工作领导小组，由党政办、财政所、民政办、综治办等相关部门负责人组成。具体负责政府信息公开工作的协调、督导和落实。</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 、规范公开程序。政务公开的内容由各站、办、所依据本单位实际情况提供，政务公开督查领导小组先审核，然后提交政务公开领导小组研究同意后予以公开。</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 、提高政府信息公开工作队伍能力。采取线上线下相结合的形式培训政府信息公开工作人员，不断提高其专业能力，为做好本职工作打好坚实基础。</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 、严格监督检查，限期整改落实。建立主动公开的政府信息清单，定期对要求及时公开栏目信息发布时效、形式、内容等进行审核，对不符合《条例》要求栏目内容及时予以整改。</w:t>
      </w:r>
    </w:p>
    <w:p>
      <w:pPr>
        <w:spacing w:line="520" w:lineRule="exact"/>
        <w:ind w:firstLine="640" w:firstLineChars="200"/>
        <w:rPr>
          <w:rFonts w:ascii="仿宋" w:hAnsi="仿宋" w:eastAsia="仿宋" w:cs="仿宋"/>
          <w:sz w:val="32"/>
          <w:szCs w:val="32"/>
        </w:rPr>
      </w:pPr>
    </w:p>
    <w:p>
      <w:pPr>
        <w:numPr>
          <w:ilvl w:val="0"/>
          <w:numId w:val="1"/>
        </w:numPr>
        <w:spacing w:line="520" w:lineRule="exact"/>
        <w:ind w:firstLine="643" w:firstLineChars="200"/>
        <w:rPr>
          <w:rFonts w:ascii="宋体" w:hAnsi="宋体" w:eastAsia="宋体" w:cs="宋体"/>
          <w:sz w:val="32"/>
          <w:szCs w:val="32"/>
        </w:rPr>
      </w:pPr>
      <w:r>
        <w:rPr>
          <w:rFonts w:hint="eastAsia" w:ascii="仿宋" w:hAnsi="仿宋" w:eastAsia="仿宋" w:cs="仿宋"/>
          <w:b/>
          <w:bCs/>
          <w:sz w:val="32"/>
          <w:szCs w:val="32"/>
        </w:rPr>
        <w:t>其他需要报告的事项</w:t>
      </w:r>
    </w:p>
    <w:p>
      <w:pPr>
        <w:spacing w:line="520" w:lineRule="exact"/>
        <w:rPr>
          <w:rFonts w:ascii="宋体" w:hAnsi="宋体" w:eastAsia="仿宋" w:cs="宋体"/>
          <w:sz w:val="32"/>
          <w:szCs w:val="32"/>
        </w:rPr>
      </w:pPr>
      <w:r>
        <w:rPr>
          <w:rFonts w:hint="eastAsia" w:ascii="仿宋" w:hAnsi="仿宋" w:eastAsia="仿宋" w:cs="仿宋"/>
          <w:sz w:val="32"/>
          <w:szCs w:val="32"/>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exact"/>
      <w:ind w:firstLine="4379"/>
      <w:rPr>
        <w:rFonts w:ascii="宋体" w:hAnsi="宋体" w:eastAsia="宋体" w:cs="宋体"/>
        <w:sz w:val="24"/>
        <w:szCs w:val="24"/>
      </w:rPr>
    </w:pPr>
    <w:r>
      <w:rPr>
        <w:rFonts w:ascii="宋体" w:hAnsi="宋体" w:eastAsia="宋体" w:cs="宋体"/>
        <w:position w:val="-3"/>
        <w:sz w:val="24"/>
        <w:szCs w:val="24"/>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713FE"/>
    <w:multiLevelType w:val="singleLevel"/>
    <w:tmpl w:val="FBF713F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7E051D7"/>
    <w:rsid w:val="00060A2F"/>
    <w:rsid w:val="001313B9"/>
    <w:rsid w:val="00161930"/>
    <w:rsid w:val="00632D75"/>
    <w:rsid w:val="0BA260A1"/>
    <w:rsid w:val="0CF41AE8"/>
    <w:rsid w:val="14CB416C"/>
    <w:rsid w:val="16110D34"/>
    <w:rsid w:val="161A2AAB"/>
    <w:rsid w:val="1E4C3866"/>
    <w:rsid w:val="20421436"/>
    <w:rsid w:val="24045482"/>
    <w:rsid w:val="26CF1983"/>
    <w:rsid w:val="30B468D2"/>
    <w:rsid w:val="3128499D"/>
    <w:rsid w:val="33580CB2"/>
    <w:rsid w:val="38227B20"/>
    <w:rsid w:val="39B065A9"/>
    <w:rsid w:val="44834322"/>
    <w:rsid w:val="4C0D0A51"/>
    <w:rsid w:val="5163492D"/>
    <w:rsid w:val="524E2FBC"/>
    <w:rsid w:val="5AC91997"/>
    <w:rsid w:val="5E6F4DA2"/>
    <w:rsid w:val="70BD6E5B"/>
    <w:rsid w:val="77E051D7"/>
    <w:rsid w:val="7E015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pPr>
    <w:rPr>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spacing w:beforeAutospacing="1" w:afterAutospacing="1"/>
    </w:pPr>
    <w:rPr>
      <w:rFonts w:cs="Times New Roman"/>
      <w:sz w:val="24"/>
    </w:rPr>
  </w:style>
  <w:style w:type="character" w:customStyle="1" w:styleId="7">
    <w:name w:val="页眉 Char"/>
    <w:basedOn w:val="6"/>
    <w:link w:val="3"/>
    <w:qFormat/>
    <w:uiPriority w:val="0"/>
    <w:rPr>
      <w:rFonts w:ascii="Arial" w:hAnsi="Arial" w:eastAsia="Arial" w:cs="Arial"/>
      <w:snapToGrid w:val="0"/>
      <w:color w:val="000000"/>
      <w:sz w:val="18"/>
      <w:szCs w:val="18"/>
    </w:rPr>
  </w:style>
  <w:style w:type="character" w:customStyle="1" w:styleId="8">
    <w:name w:val="页脚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4</Pages>
  <Words>412</Words>
  <Characters>2349</Characters>
  <Lines>19</Lines>
  <Paragraphs>5</Paragraphs>
  <TotalTime>0</TotalTime>
  <ScaleCrop>false</ScaleCrop>
  <LinksUpToDate>false</LinksUpToDate>
  <CharactersWithSpaces>2756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2022-01-19T00:17:00Z</dcterms:created>
  <dc:creator>宁静致远</dc:creator>
  <cp:lastModifiedBy>简单快乐人</cp:lastModifiedBy>
  <dcterms:modified xsi:type="dcterms:W3CDTF">2023-01-29T02:02:02Z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508D8E7BD1394CF39D5BA39261B1048B</vt:lpwstr>
  </property>
</Properties>
</file>