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color w:val="333333"/>
          <w:sz w:val="36"/>
          <w:szCs w:val="36"/>
        </w:rPr>
      </w:pPr>
    </w:p>
    <w:p>
      <w:pPr>
        <w:pStyle w:val="4"/>
        <w:keepNext w:val="0"/>
        <w:keepLines w:val="0"/>
        <w:widowControl/>
        <w:suppressLineNumbers w:val="0"/>
        <w:spacing w:before="0" w:beforeAutospacing="0" w:after="0" w:afterAutospacing="0" w:line="432" w:lineRule="auto"/>
        <w:jc w:val="center"/>
        <w:rPr>
          <w:rFonts w:hint="eastAsia" w:ascii="方正小标宋_GBK" w:hAnsi="方正小标宋_GBK" w:eastAsia="方正小标宋_GBK" w:cs="方正小标宋_GBK"/>
          <w:b/>
          <w:bCs/>
          <w:color w:val="333333"/>
          <w:sz w:val="44"/>
          <w:szCs w:val="44"/>
          <w:lang w:eastAsia="zh-CN"/>
        </w:rPr>
      </w:pPr>
      <w:r>
        <w:rPr>
          <w:rFonts w:hint="eastAsia" w:ascii="方正小标宋_GBK" w:hAnsi="方正小标宋_GBK" w:eastAsia="方正小标宋_GBK" w:cs="方正小标宋_GBK"/>
          <w:b/>
          <w:bCs/>
          <w:color w:val="333333"/>
          <w:sz w:val="44"/>
          <w:szCs w:val="44"/>
          <w:lang w:eastAsia="zh-CN"/>
        </w:rPr>
        <w:t>涨渡湖街道办事处</w:t>
      </w:r>
    </w:p>
    <w:p>
      <w:pPr>
        <w:pStyle w:val="4"/>
        <w:keepNext w:val="0"/>
        <w:keepLines w:val="0"/>
        <w:widowControl/>
        <w:suppressLineNumbers w:val="0"/>
        <w:spacing w:before="0" w:beforeAutospacing="0" w:after="0" w:afterAutospacing="0" w:line="432" w:lineRule="auto"/>
        <w:jc w:val="center"/>
        <w:rPr>
          <w:rFonts w:hint="eastAsia" w:ascii="方正小标宋_GBK" w:hAnsi="方正小标宋_GBK" w:eastAsia="方正小标宋_GBK" w:cs="方正小标宋_GBK"/>
          <w:b/>
          <w:bCs/>
          <w:color w:val="333333"/>
          <w:sz w:val="44"/>
          <w:szCs w:val="44"/>
        </w:rPr>
      </w:pPr>
      <w:r>
        <w:rPr>
          <w:rFonts w:hint="eastAsia" w:ascii="方正小标宋_GBK" w:hAnsi="方正小标宋_GBK" w:eastAsia="方正小标宋_GBK" w:cs="方正小标宋_GBK"/>
          <w:b/>
          <w:bCs/>
          <w:color w:val="333333"/>
          <w:sz w:val="44"/>
          <w:szCs w:val="44"/>
        </w:rPr>
        <w:t>202</w:t>
      </w:r>
      <w:r>
        <w:rPr>
          <w:rFonts w:hint="eastAsia" w:ascii="方正小标宋_GBK" w:hAnsi="方正小标宋_GBK" w:eastAsia="方正小标宋_GBK" w:cs="方正小标宋_GBK"/>
          <w:b/>
          <w:bCs/>
          <w:color w:val="333333"/>
          <w:sz w:val="44"/>
          <w:szCs w:val="44"/>
          <w:lang w:val="en-US" w:eastAsia="zh-CN"/>
        </w:rPr>
        <w:t>3</w:t>
      </w:r>
      <w:r>
        <w:rPr>
          <w:rFonts w:hint="eastAsia" w:ascii="方正小标宋_GBK" w:hAnsi="方正小标宋_GBK" w:eastAsia="方正小标宋_GBK" w:cs="方正小标宋_GBK"/>
          <w:b/>
          <w:bCs/>
          <w:color w:val="333333"/>
          <w:sz w:val="44"/>
          <w:szCs w:val="44"/>
        </w:rPr>
        <w:t>年政府信息公开工作年度报告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仿宋" w:hAnsi="仿宋" w:eastAsia="仿宋" w:cs="仿宋"/>
          <w:color w:val="0000FF"/>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2023年，涨渡湖街道在区委、区政府的正确领导，街道党工委、办事处的高度重视下，</w:t>
      </w:r>
      <w:r>
        <w:rPr>
          <w:rFonts w:hint="eastAsia" w:ascii="仿宋_GB2312" w:hAnsi="仿宋_GB2312" w:eastAsia="仿宋_GB2312" w:cs="仿宋_GB2312"/>
          <w:i w:val="0"/>
          <w:iCs w:val="0"/>
          <w:caps w:val="0"/>
          <w:color w:val="333333"/>
          <w:spacing w:val="0"/>
          <w:sz w:val="32"/>
          <w:szCs w:val="32"/>
        </w:rPr>
        <w:t>根据《中华人民共和国政府信息公开条例》</w:t>
      </w:r>
      <w:r>
        <w:rPr>
          <w:rFonts w:hint="eastAsia" w:ascii="仿宋_GB2312" w:hAnsi="仿宋_GB2312" w:eastAsia="仿宋_GB2312" w:cs="仿宋_GB2312"/>
          <w:i w:val="0"/>
          <w:iCs w:val="0"/>
          <w:caps w:val="0"/>
          <w:color w:val="333333"/>
          <w:spacing w:val="0"/>
          <w:sz w:val="32"/>
          <w:szCs w:val="32"/>
          <w:lang w:eastAsia="zh-CN"/>
        </w:rPr>
        <w:t>和政务公开相关工作要求</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eastAsia="zh-CN"/>
        </w:rPr>
        <w:t>围绕街道重点工作和群众关心关切问题，不断健全政务公开工作机制，强化党政领导</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eastAsia="zh-CN"/>
        </w:rPr>
        <w:t>着力提升政务公开的深度、广度，深化重点领域政务信息公开、丰富政务公开载体、畅通政务公开渠道，及时主动做好政府信息依法公开工作</w:t>
      </w:r>
      <w:r>
        <w:rPr>
          <w:rFonts w:hint="eastAsia" w:ascii="仿宋_GB2312" w:hAnsi="仿宋_GB2312" w:eastAsia="仿宋_GB2312" w:cs="仿宋_GB2312"/>
          <w:i w:val="0"/>
          <w:iCs w:val="0"/>
          <w:caps w:val="0"/>
          <w:color w:val="333333"/>
          <w:spacing w:val="0"/>
          <w:sz w:val="32"/>
          <w:szCs w:val="32"/>
        </w:rPr>
        <w:t>。现将</w:t>
      </w:r>
      <w:r>
        <w:rPr>
          <w:rFonts w:hint="eastAsia" w:ascii="仿宋_GB2312" w:hAnsi="仿宋_GB2312" w:eastAsia="仿宋_GB2312" w:cs="仿宋_GB2312"/>
          <w:i w:val="0"/>
          <w:iCs w:val="0"/>
          <w:caps w:val="0"/>
          <w:color w:val="333333"/>
          <w:spacing w:val="0"/>
          <w:sz w:val="32"/>
          <w:szCs w:val="32"/>
          <w:lang w:eastAsia="zh-CN"/>
        </w:rPr>
        <w:t>我街</w:t>
      </w:r>
      <w:r>
        <w:rPr>
          <w:rFonts w:hint="eastAsia" w:ascii="仿宋_GB2312" w:hAnsi="仿宋_GB2312" w:eastAsia="仿宋_GB2312" w:cs="仿宋_GB2312"/>
          <w:i w:val="0"/>
          <w:iCs w:val="0"/>
          <w:caps w:val="0"/>
          <w:color w:val="333333"/>
          <w:spacing w:val="0"/>
          <w:sz w:val="32"/>
          <w:szCs w:val="32"/>
        </w:rPr>
        <w:t>2</w:t>
      </w:r>
      <w:r>
        <w:rPr>
          <w:rFonts w:hint="eastAsia" w:ascii="仿宋_GB2312" w:hAnsi="仿宋_GB2312" w:eastAsia="仿宋_GB2312" w:cs="仿宋_GB2312"/>
          <w:i w:val="0"/>
          <w:iCs w:val="0"/>
          <w:caps w:val="0"/>
          <w:color w:val="333333"/>
          <w:spacing w:val="0"/>
          <w:sz w:val="32"/>
          <w:szCs w:val="32"/>
          <w:lang w:val="en-US" w:eastAsia="zh-CN"/>
        </w:rPr>
        <w:t>023</w:t>
      </w:r>
      <w:r>
        <w:rPr>
          <w:rFonts w:hint="eastAsia" w:ascii="仿宋_GB2312" w:hAnsi="仿宋_GB2312" w:eastAsia="仿宋_GB2312" w:cs="仿宋_GB2312"/>
          <w:i w:val="0"/>
          <w:iCs w:val="0"/>
          <w:caps w:val="0"/>
          <w:color w:val="333333"/>
          <w:spacing w:val="0"/>
          <w:sz w:val="32"/>
          <w:szCs w:val="32"/>
        </w:rPr>
        <w:t>年政务信息公开工作情况汇报如下：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（一）政府信息公开情况。我街根据2023年工作实际对政府信息实行依法公开、主动公开，在区政府政务公开网站</w:t>
      </w:r>
      <w:r>
        <w:rPr>
          <w:rFonts w:hint="eastAsia" w:ascii="仿宋_GB2312" w:hAnsi="仿宋_GB2312" w:eastAsia="仿宋_GB2312" w:cs="仿宋_GB2312"/>
          <w:color w:val="000000"/>
          <w:kern w:val="0"/>
          <w:sz w:val="32"/>
          <w:szCs w:val="32"/>
          <w:lang w:val="en-US" w:eastAsia="zh-CN" w:bidi="ar"/>
        </w:rPr>
        <w:t>更新了领导分工、职责相关信息，发布了《新洲区人民政府涨渡湖街道办事处政府信息公开指南（2023版）》，开设专栏集中公开了财政预决算信息、2023年政府采购明细及耕地地力保护补贴等。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（二）政府信息依申请公开情况。2023年度未接到针对本部门有关政府信息公开的申请。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府信息管理情况。2023年，涨渡湖街道严格按照区委、区政府要求，不断加强政务公开人员的专业培训，坚持“应公开尽公开”原则，对需依法公开内容及时公开并做好资料的整理归档，进一步提高街道政府信息公开工作规范化水平。同时，切实遵守《中华人民共和国保守国家秘密法》规定，完善政府信息发布保密审查制度，强化工作人员保密意识培养，确保公开信息合法合规，无泄密事件发生。</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政府信息公开平台建设情况。线上一是把区政府网站作为政府信息公开第一平台，设置专人负责平台日常管理，及时更新完善基层政务公开子栏目；二是通过智慧新洲涨渡湖版块、涨渡湖微信公众号及时发布街道工作情况。线下在街道便民服务中心、分场场部、社区通过摆放宣传册、宣传栏张贴等举措对群众关心关切相关政策及街道工作情况进行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五）监督保障情况。一是健全政务公开审核发布机制，严格把关，规范公开申报程序，确保公开信息依法依规、严谨真实；二是推行领导小组监督和群众监督相结合，在信息公开范围、公开质量、公开内容和公开形式等方面加大政务公开监督力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2023年，我街处理行政许可138条，行政处罚23条。</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eastAsiaTheme="minorEastAsia"/>
                <w:sz w:val="21"/>
                <w:szCs w:val="21"/>
                <w:lang w:val="en-US" w:eastAsia="zh-CN"/>
              </w:rPr>
            </w:pPr>
            <w:r>
              <w:rPr>
                <w:rFonts w:hint="eastAsia" w:ascii="宋体" w:hAnsi="宋体" w:eastAsia="宋体" w:cs="宋体"/>
                <w:color w:val="000000"/>
                <w:kern w:val="0"/>
                <w:sz w:val="21"/>
                <w:szCs w:val="21"/>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eastAsiaTheme="minorEastAsia"/>
                <w:sz w:val="21"/>
                <w:szCs w:val="21"/>
                <w:lang w:val="en-US" w:eastAsia="zh-CN"/>
              </w:rPr>
            </w:pPr>
            <w:r>
              <w:rPr>
                <w:rFonts w:hint="eastAsia" w:ascii="宋体" w:hAnsi="宋体" w:eastAsia="宋体" w:cs="宋体"/>
                <w:color w:val="000000"/>
                <w:kern w:val="0"/>
                <w:sz w:val="21"/>
                <w:szCs w:val="21"/>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年，我街未收到和处理政府信息公开申请</w:t>
      </w:r>
      <w:r>
        <w:rPr>
          <w:rFonts w:hint="eastAsia" w:ascii="仿宋_GB2312" w:hAnsi="仿宋_GB2312" w:eastAsia="仿宋_GB2312" w:cs="仿宋_GB2312"/>
          <w:sz w:val="32"/>
          <w:szCs w:val="32"/>
          <w:lang w:val="en-US" w:eastAsia="zh-CN"/>
        </w:rPr>
        <w:t>。</w:t>
      </w:r>
    </w:p>
    <w:tbl>
      <w:tblPr>
        <w:tblStyle w:val="5"/>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vAlign w:val="top"/>
          </w:tcPr>
          <w:p>
            <w:pPr>
              <w:jc w:val="center"/>
              <w:rPr>
                <w:rFonts w:hint="eastAsia" w:ascii="宋体" w:hAnsi="宋体" w:eastAsia="宋体" w:cs="宋体"/>
                <w:color w:val="333333"/>
                <w:sz w:val="21"/>
                <w:szCs w:val="21"/>
              </w:rPr>
            </w:pPr>
            <w:r>
              <w:rPr>
                <w:rFonts w:hint="eastAsia" w:ascii="宋体" w:hAnsi="宋体" w:eastAsia="宋体" w:cs="宋体"/>
                <w:color w:val="000000"/>
                <w:kern w:val="0"/>
                <w:sz w:val="21"/>
                <w:szCs w:val="21"/>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年，我街未收到因政府信息公开工作被申请行政复议、提起行政诉讼</w:t>
      </w:r>
      <w:r>
        <w:rPr>
          <w:rFonts w:hint="default" w:ascii="仿宋_GB2312" w:hAnsi="微软雅黑" w:eastAsia="仿宋_GB2312" w:cs="仿宋_GB2312"/>
          <w:i w:val="0"/>
          <w:iCs w:val="0"/>
          <w:caps w:val="0"/>
          <w:color w:val="212121"/>
          <w:spacing w:val="0"/>
          <w:kern w:val="0"/>
          <w:sz w:val="32"/>
          <w:szCs w:val="32"/>
          <w:shd w:val="clear" w:fill="FFFFFF"/>
          <w:lang w:val="en-US" w:eastAsia="zh-CN" w:bidi="ar"/>
        </w:rPr>
        <w:t>。</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r>
              <w:rPr>
                <w:rFonts w:hint="eastAsia" w:ascii="黑体" w:hAnsi="宋体" w:eastAsia="黑体" w:cs="黑体"/>
                <w:color w:val="333333"/>
                <w:kern w:val="2"/>
                <w:sz w:val="20"/>
                <w:szCs w:val="20"/>
                <w:lang w:val="en-US" w:eastAsia="zh-CN" w:bidi="ar"/>
              </w:rPr>
              <w:t>0</w:t>
            </w:r>
          </w:p>
        </w:tc>
      </w:tr>
    </w:tbl>
    <w:p>
      <w:pPr>
        <w:keepNext w:val="0"/>
        <w:keepLines w:val="0"/>
        <w:widowControl/>
        <w:suppressLineNumbers w:val="0"/>
        <w:jc w:val="left"/>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经过一年的工作推进，2023年，我街道政务信息公开工作整体水平得到了提升，信息公开质量也有所提高，但我们也深刻认识到，我们的工作与上级的要求和公众的需求仍存在些微差距。</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（一）存在问题</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一是部分信息上传不及时、不完整。二是政务公开工作人员专业化水平还需提高。</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（二）改进情况</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一是加强领导小组监督，确保按时高质完成信息公开工作；二是通过奖惩措施提高政务公开人员的自主学习积极性，同时积极参与及组织政务公开工作专业化培训，提高工作人员的业务水平。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rPr>
          <w:rFonts w:hint="default" w:ascii="仿宋" w:hAnsi="仿宋" w:eastAsia="仿宋_GB2312" w:cs="仿宋"/>
          <w:sz w:val="32"/>
          <w:szCs w:val="32"/>
          <w:lang w:val="en-US" w:eastAsia="zh-CN"/>
        </w:rPr>
      </w:pPr>
      <w:r>
        <w:rPr>
          <w:rFonts w:hint="eastAsia" w:ascii="仿宋_GB2312" w:hAnsi="仿宋_GB2312" w:eastAsia="仿宋_GB2312" w:cs="仿宋_GB2312"/>
          <w:kern w:val="0"/>
          <w:sz w:val="32"/>
          <w:szCs w:val="32"/>
          <w:lang w:val="en-US" w:eastAsia="zh-CN" w:bidi="ar"/>
        </w:rPr>
        <w:t>2023年我街政府信息处理费收取0元。</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2023年我街办理市区人大、政协建议提案0件。</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2023年我街无重点领域政府信息公开。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5325BA-A499-4AF3-B98E-30591ADD7D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2010604000101010101"/>
    <w:charset w:val="86"/>
    <w:family w:val="auto"/>
    <w:pitch w:val="default"/>
    <w:sig w:usb0="00000000" w:usb1="00000000" w:usb2="00000010"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69BD60AE-8393-4422-A949-0A3E65A9EF96}"/>
  </w:font>
  <w:font w:name="仿宋">
    <w:panose1 w:val="02010609060101010101"/>
    <w:charset w:val="86"/>
    <w:family w:val="auto"/>
    <w:pitch w:val="default"/>
    <w:sig w:usb0="800002BF" w:usb1="38CF7CFA" w:usb2="00000016" w:usb3="00000000" w:csb0="00040001" w:csb1="00000000"/>
    <w:embedRegular r:id="rId3" w:fontKey="{EAD820AE-3248-4DD4-A3BA-39DAF48038E2}"/>
  </w:font>
  <w:font w:name="仿宋_GB2312">
    <w:panose1 w:val="02010609030101010101"/>
    <w:charset w:val="86"/>
    <w:family w:val="auto"/>
    <w:pitch w:val="default"/>
    <w:sig w:usb0="00000001" w:usb1="080E0000" w:usb2="00000000" w:usb3="00000000" w:csb0="00040000" w:csb1="00000000"/>
    <w:embedRegular r:id="rId4" w:fontKey="{0C2DF2B6-1586-46AE-86BE-471BFCBD324E}"/>
  </w:font>
  <w:font w:name="楷体">
    <w:panose1 w:val="02010609060101010101"/>
    <w:charset w:val="86"/>
    <w:family w:val="auto"/>
    <w:pitch w:val="default"/>
    <w:sig w:usb0="800002BF" w:usb1="38CF7CFA" w:usb2="00000016" w:usb3="00000000" w:csb0="00040001" w:csb1="00000000"/>
    <w:embedRegular r:id="rId5" w:fontKey="{AB792428-82CA-4EF8-801B-6F37A92BA6DD}"/>
  </w:font>
  <w:font w:name="微软雅黑">
    <w:panose1 w:val="020B0503020204020204"/>
    <w:charset w:val="86"/>
    <w:family w:val="auto"/>
    <w:pitch w:val="default"/>
    <w:sig w:usb0="80000287" w:usb1="280F3C52" w:usb2="00000016" w:usb3="00000000" w:csb0="0004001F" w:csb1="00000000"/>
    <w:embedRegular r:id="rId6" w:fontKey="{6A0C89BD-5A6B-4849-9AC4-9EFFDE97E0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2YzY2ZWVkMmVlYjM4MDUzYmI4ZjFiZWFjOTVmYzgifQ=="/>
  </w:docVars>
  <w:rsids>
    <w:rsidRoot w:val="238B1E27"/>
    <w:rsid w:val="0139010F"/>
    <w:rsid w:val="04817EED"/>
    <w:rsid w:val="09B80144"/>
    <w:rsid w:val="0B494101"/>
    <w:rsid w:val="0E4017EB"/>
    <w:rsid w:val="0E4B6465"/>
    <w:rsid w:val="11D32976"/>
    <w:rsid w:val="188473DD"/>
    <w:rsid w:val="19526877"/>
    <w:rsid w:val="19600F94"/>
    <w:rsid w:val="1DC85359"/>
    <w:rsid w:val="1E8A232A"/>
    <w:rsid w:val="214967B1"/>
    <w:rsid w:val="21C67E02"/>
    <w:rsid w:val="21FD69EB"/>
    <w:rsid w:val="238B1E27"/>
    <w:rsid w:val="246E2621"/>
    <w:rsid w:val="264F6618"/>
    <w:rsid w:val="2DCE2518"/>
    <w:rsid w:val="380214FF"/>
    <w:rsid w:val="397119C0"/>
    <w:rsid w:val="3A59760D"/>
    <w:rsid w:val="40D774DE"/>
    <w:rsid w:val="43F049E7"/>
    <w:rsid w:val="4CD80866"/>
    <w:rsid w:val="553E76D4"/>
    <w:rsid w:val="597F2795"/>
    <w:rsid w:val="5F702B80"/>
    <w:rsid w:val="5FDA449D"/>
    <w:rsid w:val="5FF0D4BB"/>
    <w:rsid w:val="61E14F55"/>
    <w:rsid w:val="62D11B87"/>
    <w:rsid w:val="6697F0FD"/>
    <w:rsid w:val="68C55CEA"/>
    <w:rsid w:val="6A576E16"/>
    <w:rsid w:val="74C57072"/>
    <w:rsid w:val="75D31F65"/>
    <w:rsid w:val="77C96E79"/>
    <w:rsid w:val="784604CA"/>
    <w:rsid w:val="79233CFC"/>
    <w:rsid w:val="79C618C2"/>
    <w:rsid w:val="79FB1236"/>
    <w:rsid w:val="7DDD542C"/>
    <w:rsid w:val="7FD7006C"/>
    <w:rsid w:val="7FDF548C"/>
    <w:rsid w:val="DF7FB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eastAsia="文星仿宋"/>
      <w:sz w:val="32"/>
    </w:rPr>
  </w:style>
  <w:style w:type="paragraph" w:styleId="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2021-12-22T23:19:00Z</dcterms:created>
  <dc:creator>WPS_1624785580</dc:creator>
  <cp:lastModifiedBy>Atopos</cp:lastModifiedBy>
  <cp:lastPrinted>2024-01-02T07:55:00Z</cp:lastPrinted>
  <dcterms:modified xsi:type="dcterms:W3CDTF">2024-01-17T03:52:34Z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CCD092A99B734F2EBA01FE1412D6661E_13</vt:lpwstr>
  </property>
</Properties>
</file>