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instrText xml:space="preserve"> HYPERLINK "http://www.wuchang.gov.cn/xxgk/dsjzx/zfxxgknb/202201/t20220113_1895230.html" </w:instrTex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新洲区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大数据中心2021年政府信息公开工作年度报告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（一）总体概述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2021年，区大数据中心认真贯彻落实《中华人民共和国政府信息公开条例》和市、区工作部署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要求，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按照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信息公开工作要求，结合本单位工作实际，以积极的态度和有力的措施，全面推动政府信息公开工作。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（二）政府信息主动公开情况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主动公开的政府信息主要包括机构职能、领导成员及分工、内设机构、财政预决算信息和政府采购信息等方面内容。应主动公开的重要信息均按要求公开。其中，财政预决算公开了区大数据中心历年来关于财政预决算的相关信息，我中心历年来的政府采购信息均通过“湖北政府购买服务信息平台”进行了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（三）政府信息依申请公开情况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本年度未收到政府信息公开申请。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（四）政府信息管理情况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加强政府信息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的规范化、标准化管理。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根据《市人民政府办公厅关于印发2020年度政务公开工作考评方案的通知》的要求，积极配合区行政审批局做好网站考核工作，不断加强完善网站栏目建设，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依托区政府门户网站公开政府信息，设置统一的政府信息公开平台集中发布、集中管理主动公开的政府信息。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健全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网站安全建设。为进一步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健全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新洲区政府门户网站安全建设，梳理网络运行管理机制，完善网站管理办法等相关制度。主动研究工作中反应出来的问题以及存在的隐患，全力做好网络安全的攻防演练工作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形成专人负责，层层把关的工作机制。今年以来，修复错链、断链、错别字约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2000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我中心政府信息公开工作虽然取得了一定成绩，但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还存在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对网站安全管理不够到位，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信息公开工作的重要性、信息公开的宣传氛围还不够浓厚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问题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下一步，我们将从以下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个方面改进信息公开工作：一是牢固树立以公开促工作的理念。充分认识做好政府信息公开工作的重大意义，切实转变思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想观念，增强工作主动性和自觉性；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是优化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政府门户网站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安全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建设。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积极做好网站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安全漏洞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及错链、断链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扫描,对政府网站存在的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问题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进行分析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并及时修复，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确保政府网站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安全稳定运行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vertAlign w:val="baseline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639D"/>
    <w:rsid w:val="33DC049F"/>
    <w:rsid w:val="440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2022-01-19T00:47:47Z</dcterms:created>
  <dc:creator>Administrator</dc:creator>
  <cp:lastModifiedBy>易小七</cp:lastModifiedBy>
  <dcterms:modified xsi:type="dcterms:W3CDTF">2022-01-19T01:40:26Z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