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宋体" w:eastAsia="方正小标宋简体" w:cs="宋体"/>
          <w:sz w:val="44"/>
          <w:szCs w:val="44"/>
        </w:rPr>
      </w:pPr>
    </w:p>
    <w:p>
      <w:pPr>
        <w:spacing w:line="640" w:lineRule="exact"/>
        <w:jc w:val="center"/>
        <w:rPr>
          <w:rFonts w:ascii="方正小标宋简体" w:hAnsi="宋体" w:eastAsia="方正小标宋简体" w:cs="宋体"/>
          <w:sz w:val="44"/>
          <w:szCs w:val="44"/>
        </w:rPr>
      </w:pPr>
      <w:r>
        <w:rPr>
          <w:rFonts w:hint="eastAsia" w:ascii="方正小标宋简体" w:hAnsi="宋体" w:eastAsia="方正小标宋简体" w:cs="宋体"/>
          <w:sz w:val="44"/>
          <w:szCs w:val="44"/>
        </w:rPr>
        <w:t>新洲区卫生健康局</w:t>
      </w:r>
    </w:p>
    <w:p>
      <w:pPr>
        <w:spacing w:line="640" w:lineRule="exact"/>
        <w:jc w:val="center"/>
        <w:rPr>
          <w:rFonts w:ascii="方正小标宋简体" w:hAnsi="宋体" w:eastAsia="方正小标宋简体" w:cs="宋体"/>
          <w:sz w:val="44"/>
          <w:szCs w:val="44"/>
        </w:rPr>
      </w:pPr>
      <w:bookmarkStart w:id="0" w:name="_GoBack"/>
      <w:r>
        <w:rPr>
          <w:rFonts w:hint="eastAsia" w:ascii="方正小标宋简体" w:hAnsi="宋体" w:eastAsia="方正小标宋简体" w:cs="宋体"/>
          <w:sz w:val="44"/>
          <w:szCs w:val="44"/>
        </w:rPr>
        <w:t>2021年政府信息公开工作年度报告</w:t>
      </w:r>
    </w:p>
    <w:bookmarkEnd w:id="0"/>
    <w:p>
      <w:pPr>
        <w:spacing w:line="640" w:lineRule="exact"/>
        <w:ind w:firstLine="640" w:firstLineChars="200"/>
        <w:rPr>
          <w:rFonts w:hint="eastAsia" w:ascii="仿宋_GB2312" w:hAnsi="仿宋" w:eastAsia="仿宋_GB2312"/>
          <w:sz w:val="32"/>
          <w:szCs w:val="32"/>
        </w:rPr>
      </w:pPr>
    </w:p>
    <w:p>
      <w:pPr>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年度报告根据《中华人民共和国政府信息公开条例》（以下简称《条例》）和政务公开工作要求，由新洲区卫生健康局编制。全文包括概述、主动公开政府信息情况、依申请公开政府信息情况、政府信息公开咨询处理情况、政府信息公开行政复议和行政诉讼情况、政府信息公开支出情况，其他相关工作情况以及存在的主要问题和改进措施等。本年度报告的电子版可在新洲区政府门户网站上下载。如对本年度报告有疑问，请联系新洲区卫生健康局：027-89351810。 </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一、总体情况</w:t>
      </w:r>
    </w:p>
    <w:p>
      <w:pPr>
        <w:spacing w:line="64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2021年，我局</w:t>
      </w:r>
      <w:r>
        <w:rPr>
          <w:rFonts w:hint="eastAsia" w:ascii="仿宋" w:hAnsi="仿宋" w:eastAsia="仿宋" w:cs="仿宋"/>
          <w:color w:val="000000" w:themeColor="text1"/>
          <w:sz w:val="32"/>
          <w:szCs w:val="32"/>
          <w:shd w:val="clear" w:color="auto" w:fill="FFFFFF"/>
          <w14:textFill>
            <w14:solidFill>
              <w14:schemeClr w14:val="tx1"/>
            </w14:solidFill>
          </w14:textFill>
        </w:rPr>
        <w:t>在区委、区政府的正确领导下，</w:t>
      </w:r>
      <w:r>
        <w:rPr>
          <w:rFonts w:hint="eastAsia" w:ascii="仿宋" w:hAnsi="仿宋" w:eastAsia="仿宋" w:cs="仿宋"/>
          <w:color w:val="000000" w:themeColor="text1"/>
          <w:sz w:val="32"/>
          <w:szCs w:val="32"/>
          <w14:textFill>
            <w14:solidFill>
              <w14:schemeClr w14:val="tx1"/>
            </w14:solidFill>
          </w14:textFill>
        </w:rPr>
        <w:t>认真贯彻落实《条例》精神，严格按照《省人民政府办公厅关于做好2021年政府信息公开工作年度报告编制和发布工作的通知》和区政府有关信息公开工作的相关规定，切实加强政府信息公开平台和机制建设，深入推进重点领域信息公开，</w:t>
      </w:r>
      <w:r>
        <w:rPr>
          <w:rFonts w:hint="eastAsia" w:ascii="仿宋" w:hAnsi="仿宋" w:eastAsia="仿宋" w:cs="仿宋"/>
          <w:color w:val="000000" w:themeColor="text1"/>
          <w:sz w:val="32"/>
          <w:szCs w:val="32"/>
          <w:shd w:val="clear" w:color="auto" w:fill="FFFFFF"/>
          <w14:textFill>
            <w14:solidFill>
              <w14:schemeClr w14:val="tx1"/>
            </w14:solidFill>
          </w14:textFill>
        </w:rPr>
        <w:t>全面推进政务公开工作的系列部署，</w:t>
      </w:r>
      <w:r>
        <w:rPr>
          <w:rFonts w:hint="eastAsia" w:ascii="仿宋" w:hAnsi="仿宋" w:eastAsia="仿宋" w:cs="仿宋"/>
          <w:color w:val="000000" w:themeColor="text1"/>
          <w:sz w:val="32"/>
          <w:szCs w:val="32"/>
          <w14:textFill>
            <w14:solidFill>
              <w14:schemeClr w14:val="tx1"/>
            </w14:solidFill>
          </w14:textFill>
        </w:rPr>
        <w:t>积极履行公开职责，</w:t>
      </w:r>
      <w:r>
        <w:rPr>
          <w:rFonts w:hint="eastAsia" w:ascii="仿宋" w:hAnsi="仿宋" w:eastAsia="仿宋" w:cs="仿宋"/>
          <w:color w:val="000000" w:themeColor="text1"/>
          <w:sz w:val="32"/>
          <w:szCs w:val="32"/>
          <w:shd w:val="clear" w:color="auto" w:fill="FFFFFF"/>
          <w14:textFill>
            <w14:solidFill>
              <w14:schemeClr w14:val="tx1"/>
            </w14:solidFill>
          </w14:textFill>
        </w:rPr>
        <w:t>遵循公开、透明、便民的原则，围绕卫生健康中心工作，认真推进政府信息公开工作，</w:t>
      </w:r>
      <w:r>
        <w:rPr>
          <w:rFonts w:hint="eastAsia" w:ascii="仿宋" w:hAnsi="仿宋" w:eastAsia="仿宋" w:cs="仿宋"/>
          <w:color w:val="000000" w:themeColor="text1"/>
          <w:sz w:val="32"/>
          <w:szCs w:val="32"/>
          <w14:textFill>
            <w14:solidFill>
              <w14:schemeClr w14:val="tx1"/>
            </w14:solidFill>
          </w14:textFill>
        </w:rPr>
        <w:t>及时回应社会关切的各项信息。政府信息公开工作扎实有序推进，</w:t>
      </w:r>
      <w:r>
        <w:rPr>
          <w:rFonts w:hint="eastAsia" w:ascii="仿宋" w:hAnsi="仿宋" w:eastAsia="仿宋" w:cs="仿宋"/>
          <w:color w:val="000000"/>
          <w:sz w:val="32"/>
          <w:szCs w:val="32"/>
          <w:shd w:val="clear" w:color="auto" w:fill="FFFFFF"/>
        </w:rPr>
        <w:t>不断提升政务公开的质量和实效</w:t>
      </w:r>
      <w:r>
        <w:rPr>
          <w:rFonts w:hint="eastAsia" w:ascii="仿宋" w:hAnsi="仿宋" w:eastAsia="仿宋" w:cs="仿宋"/>
          <w:color w:val="000000" w:themeColor="text1"/>
          <w:sz w:val="32"/>
          <w:szCs w:val="32"/>
          <w14:textFill>
            <w14:solidFill>
              <w14:schemeClr w14:val="tx1"/>
            </w14:solidFill>
          </w14:textFill>
        </w:rPr>
        <w:t>。</w:t>
      </w:r>
    </w:p>
    <w:p>
      <w:pPr>
        <w:spacing w:line="64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（一）工作机构和人员情况</w:t>
      </w:r>
    </w:p>
    <w:p>
      <w:pPr>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我局高度重视政务公开工作，成立了政务公开工作领导小组，由局党组书记、局长邵建鑫任组长，相关科室为成员，明确了相关工作职</w:t>
      </w:r>
      <w:r>
        <w:rPr>
          <w:rFonts w:hint="eastAsia" w:ascii="仿宋" w:hAnsi="仿宋" w:eastAsia="仿宋" w:cs="仿宋"/>
          <w:color w:val="000000" w:themeColor="text1"/>
          <w:sz w:val="32"/>
          <w:szCs w:val="32"/>
          <w14:textFill>
            <w14:solidFill>
              <w14:schemeClr w14:val="tx1"/>
            </w14:solidFill>
          </w14:textFill>
        </w:rPr>
        <w:t>责，严格实行“一把手”负总责、办公室负专责、相关科室各负其责的责任制，形成“领导亲自抓、办公室具体管、相关科室配合做”的工作机制，</w:t>
      </w:r>
      <w:r>
        <w:rPr>
          <w:rFonts w:hint="eastAsia" w:ascii="仿宋" w:hAnsi="仿宋" w:eastAsia="仿宋" w:cs="仿宋"/>
          <w:color w:val="000000" w:themeColor="text1"/>
          <w:sz w:val="32"/>
          <w:szCs w:val="32"/>
          <w:shd w:val="clear" w:color="auto" w:fill="FFFFFF"/>
          <w14:textFill>
            <w14:solidFill>
              <w14:schemeClr w14:val="tx1"/>
            </w14:solidFill>
          </w14:textFill>
        </w:rPr>
        <w:t>有序推进政府信息公开工作</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shd w:val="clear" w:color="auto" w:fill="FFFFFF"/>
          <w14:textFill>
            <w14:solidFill>
              <w14:schemeClr w14:val="tx1"/>
            </w14:solidFill>
          </w14:textFill>
        </w:rPr>
        <w:t>依法公开我局工作职能、机构设置、办公地址、办公时间、联系方式、负责人姓名等信息。</w:t>
      </w:r>
    </w:p>
    <w:p>
      <w:pPr>
        <w:spacing w:line="64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（二）制度规范建设和落实情况</w:t>
      </w:r>
    </w:p>
    <w:p>
      <w:pPr>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我局按照《条例》的要求和其他相关规定，坚持以制度建设推动政府信息公开工作深入发展，从建立健全政府信息发布、协调、保密审查机制、规范依申请公开流程上对我局的政务公开工作提出了明确要求。领导小组多次听取政务公开政务服务工作汇报，研究并协调解决存在的有关问题，做到经常性工作定期公开、阶段性工作逐段公开、临时性工作随时公开，积极优化便民服务，确保政务公开工作落实到位。我局2021年全年行政发文36件、党委发文31件、上行文39件、办公室文2件。</w:t>
      </w:r>
    </w:p>
    <w:p>
      <w:pPr>
        <w:spacing w:line="64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（三）重点领域信息公开情况</w:t>
      </w:r>
    </w:p>
    <w:p>
      <w:pPr>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全区医疗机构院务公开。要求各基层医疗机构在本单位公开栏公开药品收入占医疗收入的比例、国家基本药物目录品种使用金额比例、门诊均次费用（包括药品费、抗菌药物占药品使用比例、抗菌药物占门诊处方比例、门诊处方平均金额）、国家基本药物目录和价格等。在门诊大厅、住院收费处、住院部大厅等醒目位置通过宣传栏公示医疗服务项目、药品及价格（如有调整及时更新）,缴费单据的收费项目和收取金额详细、清晰，实现明白、合理收费。</w:t>
      </w:r>
    </w:p>
    <w:p>
      <w:pPr>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卫生监督执法公开。按照国家、省双随机抽查监管工作任务，开展双随机执法工作，对检查结果、检查时间、采取措施等情况进行公开公示。按照国家饮用水抽检任务，开展出厂水和用户水龙头水的水质监测和抽检，及时在政府门户网站上公示水质抽检结果、医师注册、护士执业注册、医疗机构注销、行政处罚、公共场所发证情况，不定期公布美容美发、住宿、文化娱乐等公共场所环境及公共用品用具抽检结果。2021年我局共承担国家“双随机</w:t>
      </w:r>
      <w:r>
        <w:rPr>
          <w:rFonts w:hint="eastAsia" w:ascii="仿宋" w:hAnsi="仿宋" w:eastAsia="仿宋" w:cs="仿宋"/>
          <w:sz w:val="32"/>
          <w:szCs w:val="32"/>
          <w:lang w:eastAsia="zh-CN"/>
        </w:rPr>
        <w:t>、</w:t>
      </w:r>
      <w:r>
        <w:rPr>
          <w:rFonts w:hint="eastAsia" w:ascii="仿宋" w:hAnsi="仿宋" w:eastAsia="仿宋" w:cs="仿宋"/>
          <w:sz w:val="32"/>
          <w:szCs w:val="32"/>
        </w:rPr>
        <w:t>一公开”监督检查任务169件，其中公共场所39件、放射卫生10件、学校卫生25件、医疗卫生28件、传染病防治42件、消毒产品7件、妇幼健康1件、职业卫生3件、生活饮用水卫生14件。截</w:t>
      </w:r>
      <w:r>
        <w:rPr>
          <w:rFonts w:hint="eastAsia" w:ascii="仿宋" w:hAnsi="仿宋" w:eastAsia="仿宋" w:cs="仿宋"/>
          <w:sz w:val="32"/>
          <w:szCs w:val="32"/>
          <w:lang w:val="en-US" w:eastAsia="zh-CN"/>
        </w:rPr>
        <w:t>至</w:t>
      </w:r>
      <w:r>
        <w:rPr>
          <w:rFonts w:hint="eastAsia" w:ascii="仿宋" w:hAnsi="仿宋" w:eastAsia="仿宋" w:cs="仿宋"/>
          <w:sz w:val="32"/>
          <w:szCs w:val="32"/>
        </w:rPr>
        <w:t>目前，我局累计监督完成163件，监督完成率达96.45%；任务完成155件，任务关闭单位14件，任务完成率91.72%，任务完结率100%。共完成案件查处62件。</w:t>
      </w:r>
    </w:p>
    <w:p>
      <w:pPr>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政务服务公开。坚持便民利民导向，对政务办理坚持“一站式”审批、“一个窗口”服务，全面加强政务服务大厅建设，为群众提供优质高效的政务服务。对涉及我局的行政许可权力进行了事项流程梳理，认领政务服务办理事项40项，全部开通网上办理并绘制了每个政务服务事项（含子项）的审批流程图，并在网站上予以公布。坚持让办事群众“最多跑一次”的工作理念，认真完成各项受理发证任务。严格执行首问负责、一次性告知、限时办结、服务承诺等制度，让办事群众享受方便快捷的政务服务。2021年全年共计网上办结政务服务事项5761件。</w:t>
      </w:r>
    </w:p>
    <w:p>
      <w:pPr>
        <w:spacing w:line="640" w:lineRule="exact"/>
        <w:ind w:firstLine="643" w:firstLineChars="200"/>
        <w:rPr>
          <w:rFonts w:hint="eastAsia" w:ascii="仿宋_GB2312" w:hAnsi="仿宋" w:eastAsia="仿宋_GB2312" w:cs="仿宋"/>
          <w:b/>
          <w:bCs/>
          <w:sz w:val="32"/>
          <w:szCs w:val="32"/>
        </w:rPr>
      </w:pPr>
      <w:r>
        <w:rPr>
          <w:rFonts w:hint="eastAsia" w:ascii="仿宋_GB2312" w:hAnsi="仿宋" w:eastAsia="仿宋_GB2312" w:cs="仿宋"/>
          <w:b/>
          <w:bCs/>
          <w:sz w:val="32"/>
          <w:szCs w:val="32"/>
        </w:rPr>
        <w:t>（四）政府信息公开咨询情况</w:t>
      </w:r>
    </w:p>
    <w:p>
      <w:pPr>
        <w:spacing w:line="640" w:lineRule="exact"/>
        <w:ind w:firstLine="640" w:firstLineChars="200"/>
        <w:rPr>
          <w:rFonts w:hint="eastAsia" w:ascii="仿宋_GB2312" w:hAnsi="仿宋" w:eastAsia="仿宋_GB2312"/>
          <w:sz w:val="32"/>
          <w:szCs w:val="32"/>
        </w:rPr>
      </w:pPr>
      <w:r>
        <w:rPr>
          <w:rFonts w:hint="eastAsia" w:ascii="仿宋" w:hAnsi="仿宋" w:eastAsia="仿宋" w:cs="仿宋"/>
          <w:sz w:val="32"/>
          <w:szCs w:val="32"/>
        </w:rPr>
        <w:t>2021年，我局共接受群众咨询11608次，其中咨询电话接听10307次，当面咨询接待215次，网上咨询1086次。</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二、主动公开政府信息情况</w:t>
      </w:r>
    </w:p>
    <w:p>
      <w:pPr>
        <w:spacing w:line="640" w:lineRule="exact"/>
        <w:ind w:firstLine="640" w:firstLineChars="200"/>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1.机构职能公开情况。我局已公示：机构名称、办公地址、联系电话、工作职责、领导分工、内设科室、直属单位等。</w:t>
      </w:r>
    </w:p>
    <w:p>
      <w:pPr>
        <w:spacing w:line="640" w:lineRule="exact"/>
        <w:ind w:firstLine="640" w:firstLineChars="200"/>
        <w:rPr>
          <w:rFonts w:hint="eastAsia" w:ascii="仿宋" w:hAnsi="仿宋" w:eastAsia="仿宋" w:cs="仿宋"/>
          <w:sz w:val="32"/>
          <w:szCs w:val="32"/>
        </w:rPr>
      </w:pPr>
      <w:r>
        <w:rPr>
          <w:rFonts w:hint="eastAsia" w:ascii="仿宋" w:hAnsi="仿宋" w:eastAsia="仿宋" w:cs="仿宋"/>
          <w:color w:val="000000" w:themeColor="text1"/>
          <w:sz w:val="32"/>
          <w:szCs w:val="32"/>
          <w:shd w:val="clear" w:color="auto" w:fill="FFFFFF"/>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按照《条例》相关规定，对能够公开的相关信息全部进行了公开。2021年，政务公开信息368条。在政务信息主动公开的方式</w:t>
      </w:r>
      <w:r>
        <w:rPr>
          <w:rFonts w:hint="eastAsia" w:ascii="仿宋" w:hAnsi="仿宋" w:eastAsia="仿宋" w:cs="仿宋"/>
          <w:sz w:val="32"/>
          <w:szCs w:val="32"/>
        </w:rPr>
        <w:t>与渠道方面，为方便公众了解信息。</w:t>
      </w:r>
    </w:p>
    <w:p>
      <w:pPr>
        <w:adjustRightInd w:val="0"/>
        <w:snapToGrid w:val="0"/>
        <w:spacing w:line="360" w:lineRule="auto"/>
        <w:jc w:val="center"/>
        <w:rPr>
          <w:rFonts w:hint="eastAsia" w:ascii="仿宋_GB2312" w:hAnsi="方正小标宋简体" w:eastAsia="仿宋_GB2312" w:cs="方正小标宋简体"/>
          <w:sz w:val="40"/>
          <w:szCs w:val="40"/>
        </w:rPr>
      </w:pPr>
    </w:p>
    <w:p>
      <w:pPr>
        <w:adjustRightInd w:val="0"/>
        <w:snapToGrid w:val="0"/>
        <w:spacing w:line="64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36"/>
          <w:szCs w:val="36"/>
        </w:rPr>
        <w:t>主动公开情况汇总表</w:t>
      </w:r>
    </w:p>
    <w:tbl>
      <w:tblPr>
        <w:tblStyle w:val="5"/>
        <w:tblW w:w="49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724"/>
        <w:gridCol w:w="1470"/>
        <w:gridCol w:w="2098"/>
        <w:gridCol w:w="2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3" w:hRule="atLeast"/>
          <w:jc w:val="center"/>
        </w:trPr>
        <w:tc>
          <w:tcPr>
            <w:tcW w:w="5000" w:type="pct"/>
            <w:gridSpan w:val="4"/>
            <w:shd w:val="clear" w:color="auto" w:fill="auto"/>
            <w:tcMar>
              <w:left w:w="57" w:type="dxa"/>
              <w:right w:w="57" w:type="dxa"/>
            </w:tcMar>
            <w:vAlign w:val="center"/>
          </w:tcPr>
          <w:p>
            <w:pPr>
              <w:widowControl/>
              <w:spacing w:line="30" w:lineRule="atLeast"/>
              <w:jc w:val="center"/>
              <w:rPr>
                <w:rFonts w:hint="eastAsia" w:ascii="仿宋_GB2312" w:hAnsi="宋体" w:eastAsia="仿宋_GB2312" w:cs="宋体"/>
                <w:color w:val="000000" w:themeColor="text1"/>
                <w:kern w:val="0"/>
                <w:sz w:val="32"/>
                <w:szCs w:val="32"/>
                <w:lang w:bidi="ar"/>
                <w14:textFill>
                  <w14:solidFill>
                    <w14:schemeClr w14:val="tx1"/>
                  </w14:solidFill>
                </w14:textFill>
              </w:rPr>
            </w:pPr>
            <w:r>
              <w:rPr>
                <w:rFonts w:hint="eastAsia" w:ascii="仿宋_GB2312" w:hAnsi="宋体" w:eastAsia="仿宋_GB2312" w:cs="宋体"/>
                <w:color w:val="000000" w:themeColor="text1"/>
                <w:kern w:val="0"/>
                <w:sz w:val="32"/>
                <w:szCs w:val="32"/>
                <w:lang w:bidi="ar"/>
                <w14:textFill>
                  <w14:solidFill>
                    <w14:schemeClr w14:val="tx1"/>
                  </w14:solidFill>
                </w14:textFill>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3" w:hRule="atLeast"/>
          <w:jc w:val="center"/>
        </w:trPr>
        <w:tc>
          <w:tcPr>
            <w:tcW w:w="1623" w:type="pct"/>
            <w:shd w:val="clear" w:color="auto" w:fill="auto"/>
            <w:tcMar>
              <w:left w:w="57" w:type="dxa"/>
              <w:right w:w="57" w:type="dxa"/>
            </w:tcMar>
            <w:vAlign w:val="center"/>
          </w:tcPr>
          <w:p>
            <w:pPr>
              <w:widowControl/>
              <w:spacing w:line="30" w:lineRule="atLeast"/>
              <w:jc w:val="center"/>
              <w:rPr>
                <w:rFonts w:hint="eastAsia" w:ascii="仿宋_GB2312" w:hAnsi="宋体" w:eastAsia="仿宋_GB2312" w:cs="宋体"/>
                <w:color w:val="000000" w:themeColor="text1"/>
                <w:kern w:val="0"/>
                <w:sz w:val="32"/>
                <w:szCs w:val="32"/>
                <w:lang w:bidi="ar"/>
                <w14:textFill>
                  <w14:solidFill>
                    <w14:schemeClr w14:val="tx1"/>
                  </w14:solidFill>
                </w14:textFill>
              </w:rPr>
            </w:pPr>
            <w:r>
              <w:rPr>
                <w:rFonts w:hint="eastAsia" w:ascii="仿宋_GB2312" w:hAnsi="宋体" w:eastAsia="仿宋_GB2312" w:cs="宋体"/>
                <w:color w:val="000000" w:themeColor="text1"/>
                <w:kern w:val="0"/>
                <w:sz w:val="32"/>
                <w:szCs w:val="32"/>
                <w:lang w:bidi="ar"/>
                <w14:textFill>
                  <w14:solidFill>
                    <w14:schemeClr w14:val="tx1"/>
                  </w14:solidFill>
                </w14:textFill>
              </w:rPr>
              <w:t>信息内容</w:t>
            </w:r>
          </w:p>
        </w:tc>
        <w:tc>
          <w:tcPr>
            <w:tcW w:w="876" w:type="pct"/>
            <w:shd w:val="clear" w:color="auto" w:fill="auto"/>
            <w:tcMar>
              <w:left w:w="57" w:type="dxa"/>
              <w:right w:w="57" w:type="dxa"/>
            </w:tcMar>
            <w:vAlign w:val="center"/>
          </w:tcPr>
          <w:p>
            <w:pPr>
              <w:widowControl/>
              <w:spacing w:line="30" w:lineRule="atLeast"/>
              <w:jc w:val="center"/>
              <w:rPr>
                <w:rFonts w:hint="eastAsia" w:ascii="仿宋_GB2312" w:hAnsi="宋体" w:eastAsia="仿宋_GB2312" w:cs="宋体"/>
                <w:color w:val="000000" w:themeColor="text1"/>
                <w:kern w:val="0"/>
                <w:sz w:val="32"/>
                <w:szCs w:val="32"/>
                <w:lang w:bidi="ar"/>
                <w14:textFill>
                  <w14:solidFill>
                    <w14:schemeClr w14:val="tx1"/>
                  </w14:solidFill>
                </w14:textFill>
              </w:rPr>
            </w:pPr>
            <w:r>
              <w:rPr>
                <w:rFonts w:hint="eastAsia" w:ascii="仿宋_GB2312" w:hAnsi="宋体" w:eastAsia="仿宋_GB2312" w:cs="宋体"/>
                <w:color w:val="000000" w:themeColor="text1"/>
                <w:kern w:val="0"/>
                <w:sz w:val="32"/>
                <w:szCs w:val="32"/>
                <w:lang w:bidi="ar"/>
                <w14:textFill>
                  <w14:solidFill>
                    <w14:schemeClr w14:val="tx1"/>
                  </w14:solidFill>
                </w14:textFill>
              </w:rPr>
              <w:t>本年制发件数</w:t>
            </w:r>
          </w:p>
        </w:tc>
        <w:tc>
          <w:tcPr>
            <w:tcW w:w="1250" w:type="pct"/>
            <w:shd w:val="clear" w:color="auto" w:fill="auto"/>
            <w:tcMar>
              <w:left w:w="57" w:type="dxa"/>
              <w:right w:w="57" w:type="dxa"/>
            </w:tcMar>
            <w:vAlign w:val="center"/>
          </w:tcPr>
          <w:p>
            <w:pPr>
              <w:widowControl/>
              <w:spacing w:line="30" w:lineRule="atLeast"/>
              <w:jc w:val="center"/>
              <w:rPr>
                <w:rFonts w:hint="eastAsia" w:ascii="仿宋_GB2312" w:hAnsi="宋体" w:eastAsia="仿宋_GB2312" w:cs="宋体"/>
                <w:color w:val="000000" w:themeColor="text1"/>
                <w:kern w:val="0"/>
                <w:sz w:val="32"/>
                <w:szCs w:val="32"/>
                <w:lang w:bidi="ar"/>
                <w14:textFill>
                  <w14:solidFill>
                    <w14:schemeClr w14:val="tx1"/>
                  </w14:solidFill>
                </w14:textFill>
              </w:rPr>
            </w:pPr>
            <w:r>
              <w:rPr>
                <w:rFonts w:hint="eastAsia" w:ascii="仿宋_GB2312" w:hAnsi="宋体" w:eastAsia="仿宋_GB2312" w:cs="宋体"/>
                <w:color w:val="000000" w:themeColor="text1"/>
                <w:kern w:val="0"/>
                <w:sz w:val="32"/>
                <w:szCs w:val="32"/>
                <w:lang w:bidi="ar"/>
                <w14:textFill>
                  <w14:solidFill>
                    <w14:schemeClr w14:val="tx1"/>
                  </w14:solidFill>
                </w14:textFill>
              </w:rPr>
              <w:t>本年废止件数</w:t>
            </w:r>
          </w:p>
        </w:tc>
        <w:tc>
          <w:tcPr>
            <w:tcW w:w="1250" w:type="pct"/>
            <w:shd w:val="clear" w:color="auto" w:fill="auto"/>
            <w:tcMar>
              <w:left w:w="57" w:type="dxa"/>
              <w:right w:w="57" w:type="dxa"/>
            </w:tcMar>
            <w:vAlign w:val="center"/>
          </w:tcPr>
          <w:p>
            <w:pPr>
              <w:widowControl/>
              <w:spacing w:line="30" w:lineRule="atLeast"/>
              <w:jc w:val="center"/>
              <w:rPr>
                <w:rFonts w:hint="eastAsia" w:ascii="仿宋_GB2312" w:hAnsi="宋体" w:eastAsia="仿宋_GB2312" w:cs="宋体"/>
                <w:color w:val="000000" w:themeColor="text1"/>
                <w:kern w:val="0"/>
                <w:sz w:val="32"/>
                <w:szCs w:val="32"/>
                <w:lang w:bidi="ar"/>
                <w14:textFill>
                  <w14:solidFill>
                    <w14:schemeClr w14:val="tx1"/>
                  </w14:solidFill>
                </w14:textFill>
              </w:rPr>
            </w:pPr>
            <w:r>
              <w:rPr>
                <w:rFonts w:hint="eastAsia" w:ascii="仿宋_GB2312" w:hAnsi="宋体" w:eastAsia="仿宋_GB2312" w:cs="宋体"/>
                <w:color w:val="000000" w:themeColor="text1"/>
                <w:kern w:val="0"/>
                <w:sz w:val="32"/>
                <w:szCs w:val="32"/>
                <w:lang w:bidi="ar"/>
                <w14:textFill>
                  <w14:solidFill>
                    <w14:schemeClr w14:val="tx1"/>
                  </w14:solidFill>
                </w14:textFill>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3" w:hRule="atLeast"/>
          <w:jc w:val="center"/>
        </w:trPr>
        <w:tc>
          <w:tcPr>
            <w:tcW w:w="1623" w:type="pct"/>
            <w:shd w:val="clear" w:color="auto" w:fill="auto"/>
            <w:tcMar>
              <w:left w:w="57" w:type="dxa"/>
              <w:right w:w="57" w:type="dxa"/>
            </w:tcMar>
            <w:vAlign w:val="center"/>
          </w:tcPr>
          <w:p>
            <w:pPr>
              <w:widowControl/>
              <w:spacing w:line="30" w:lineRule="atLeast"/>
              <w:jc w:val="center"/>
              <w:rPr>
                <w:rFonts w:hint="eastAsia" w:ascii="仿宋_GB2312" w:eastAsia="仿宋_GB2312"/>
                <w:color w:val="000000" w:themeColor="text1"/>
                <w:sz w:val="32"/>
                <w:szCs w:val="32"/>
                <w14:textFill>
                  <w14:solidFill>
                    <w14:schemeClr w14:val="tx1"/>
                  </w14:solidFill>
                </w14:textFill>
              </w:rPr>
            </w:pPr>
            <w:r>
              <w:rPr>
                <w:rFonts w:hint="eastAsia" w:ascii="仿宋_GB2312" w:hAnsi="宋体" w:eastAsia="仿宋_GB2312" w:cs="宋体"/>
                <w:color w:val="000000" w:themeColor="text1"/>
                <w:kern w:val="0"/>
                <w:sz w:val="32"/>
                <w:szCs w:val="32"/>
                <w:lang w:bidi="ar"/>
                <w14:textFill>
                  <w14:solidFill>
                    <w14:schemeClr w14:val="tx1"/>
                  </w14:solidFill>
                </w14:textFill>
              </w:rPr>
              <w:t>规章</w:t>
            </w:r>
          </w:p>
        </w:tc>
        <w:tc>
          <w:tcPr>
            <w:tcW w:w="876" w:type="pct"/>
            <w:shd w:val="clear" w:color="auto" w:fill="auto"/>
            <w:tcMar>
              <w:left w:w="57" w:type="dxa"/>
              <w:right w:w="57" w:type="dxa"/>
            </w:tcMar>
            <w:vAlign w:val="center"/>
          </w:tcPr>
          <w:p>
            <w:pPr>
              <w:widowControl/>
              <w:spacing w:line="30" w:lineRule="atLeast"/>
              <w:jc w:val="center"/>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0</w:t>
            </w:r>
          </w:p>
        </w:tc>
        <w:tc>
          <w:tcPr>
            <w:tcW w:w="1250" w:type="pct"/>
            <w:shd w:val="clear" w:color="auto" w:fill="auto"/>
            <w:tcMar>
              <w:left w:w="57" w:type="dxa"/>
              <w:right w:w="57" w:type="dxa"/>
            </w:tcMar>
            <w:vAlign w:val="center"/>
          </w:tcPr>
          <w:p>
            <w:pPr>
              <w:widowControl/>
              <w:spacing w:line="30" w:lineRule="atLeast"/>
              <w:jc w:val="center"/>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0</w:t>
            </w:r>
          </w:p>
        </w:tc>
        <w:tc>
          <w:tcPr>
            <w:tcW w:w="1250" w:type="pct"/>
            <w:shd w:val="clear" w:color="auto" w:fill="auto"/>
            <w:tcMar>
              <w:left w:w="57" w:type="dxa"/>
              <w:right w:w="57" w:type="dxa"/>
            </w:tcMar>
            <w:vAlign w:val="center"/>
          </w:tcPr>
          <w:p>
            <w:pPr>
              <w:widowControl/>
              <w:spacing w:line="30" w:lineRule="atLeast"/>
              <w:jc w:val="center"/>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3" w:hRule="atLeast"/>
          <w:jc w:val="center"/>
        </w:trPr>
        <w:tc>
          <w:tcPr>
            <w:tcW w:w="1623" w:type="pct"/>
            <w:shd w:val="clear" w:color="auto" w:fill="auto"/>
            <w:tcMar>
              <w:left w:w="57" w:type="dxa"/>
              <w:right w:w="57" w:type="dxa"/>
            </w:tcMar>
            <w:vAlign w:val="center"/>
          </w:tcPr>
          <w:p>
            <w:pPr>
              <w:widowControl/>
              <w:spacing w:line="30" w:lineRule="atLeast"/>
              <w:jc w:val="center"/>
              <w:rPr>
                <w:rFonts w:hint="eastAsia" w:ascii="仿宋_GB2312" w:eastAsia="仿宋_GB2312"/>
                <w:color w:val="000000" w:themeColor="text1"/>
                <w:sz w:val="32"/>
                <w:szCs w:val="32"/>
                <w14:textFill>
                  <w14:solidFill>
                    <w14:schemeClr w14:val="tx1"/>
                  </w14:solidFill>
                </w14:textFill>
              </w:rPr>
            </w:pPr>
            <w:r>
              <w:rPr>
                <w:rFonts w:hint="eastAsia" w:ascii="仿宋_GB2312" w:hAnsi="宋体" w:eastAsia="仿宋_GB2312" w:cs="宋体"/>
                <w:color w:val="000000" w:themeColor="text1"/>
                <w:kern w:val="0"/>
                <w:sz w:val="32"/>
                <w:szCs w:val="32"/>
                <w:lang w:bidi="ar"/>
                <w14:textFill>
                  <w14:solidFill>
                    <w14:schemeClr w14:val="tx1"/>
                  </w14:solidFill>
                </w14:textFill>
              </w:rPr>
              <w:t>行政规范性文件</w:t>
            </w:r>
          </w:p>
        </w:tc>
        <w:tc>
          <w:tcPr>
            <w:tcW w:w="876" w:type="pct"/>
            <w:shd w:val="clear" w:color="auto" w:fill="auto"/>
            <w:tcMar>
              <w:left w:w="57" w:type="dxa"/>
              <w:right w:w="57" w:type="dxa"/>
            </w:tcMar>
            <w:vAlign w:val="center"/>
          </w:tcPr>
          <w:p>
            <w:pPr>
              <w:widowControl/>
              <w:spacing w:line="30" w:lineRule="atLeast"/>
              <w:jc w:val="center"/>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0</w:t>
            </w:r>
          </w:p>
        </w:tc>
        <w:tc>
          <w:tcPr>
            <w:tcW w:w="1250" w:type="pct"/>
            <w:shd w:val="clear" w:color="auto" w:fill="auto"/>
            <w:tcMar>
              <w:left w:w="57" w:type="dxa"/>
              <w:right w:w="57" w:type="dxa"/>
            </w:tcMar>
            <w:vAlign w:val="center"/>
          </w:tcPr>
          <w:p>
            <w:pPr>
              <w:widowControl/>
              <w:spacing w:line="30" w:lineRule="atLeast"/>
              <w:jc w:val="center"/>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0</w:t>
            </w:r>
          </w:p>
        </w:tc>
        <w:tc>
          <w:tcPr>
            <w:tcW w:w="1250" w:type="pct"/>
            <w:shd w:val="clear" w:color="auto" w:fill="auto"/>
            <w:tcMar>
              <w:left w:w="57" w:type="dxa"/>
              <w:right w:w="57" w:type="dxa"/>
            </w:tcMar>
            <w:vAlign w:val="center"/>
          </w:tcPr>
          <w:p>
            <w:pPr>
              <w:widowControl/>
              <w:spacing w:line="30" w:lineRule="atLeast"/>
              <w:jc w:val="center"/>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3" w:hRule="atLeast"/>
          <w:jc w:val="center"/>
        </w:trPr>
        <w:tc>
          <w:tcPr>
            <w:tcW w:w="5000" w:type="pct"/>
            <w:gridSpan w:val="4"/>
            <w:shd w:val="clear" w:color="auto" w:fill="auto"/>
            <w:tcMar>
              <w:left w:w="57" w:type="dxa"/>
              <w:right w:w="57" w:type="dxa"/>
            </w:tcMar>
            <w:vAlign w:val="center"/>
          </w:tcPr>
          <w:p>
            <w:pPr>
              <w:widowControl/>
              <w:spacing w:line="30" w:lineRule="atLeast"/>
              <w:jc w:val="center"/>
              <w:rPr>
                <w:rFonts w:hint="eastAsia" w:ascii="仿宋_GB2312" w:eastAsia="仿宋_GB2312"/>
                <w:color w:val="000000" w:themeColor="text1"/>
                <w:sz w:val="32"/>
                <w:szCs w:val="32"/>
                <w14:textFill>
                  <w14:solidFill>
                    <w14:schemeClr w14:val="tx1"/>
                  </w14:solidFill>
                </w14:textFill>
              </w:rPr>
            </w:pPr>
            <w:r>
              <w:rPr>
                <w:rFonts w:hint="eastAsia" w:ascii="仿宋_GB2312" w:hAnsi="宋体" w:eastAsia="仿宋_GB2312" w:cs="宋体"/>
                <w:color w:val="000000" w:themeColor="text1"/>
                <w:kern w:val="0"/>
                <w:sz w:val="32"/>
                <w:szCs w:val="32"/>
                <w:lang w:bidi="ar"/>
                <w14:textFill>
                  <w14:solidFill>
                    <w14:schemeClr w14:val="tx1"/>
                  </w14:solidFill>
                </w14:textFill>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3" w:hRule="atLeast"/>
          <w:jc w:val="center"/>
        </w:trPr>
        <w:tc>
          <w:tcPr>
            <w:tcW w:w="1623" w:type="pct"/>
            <w:shd w:val="clear" w:color="auto" w:fill="auto"/>
            <w:tcMar>
              <w:left w:w="57" w:type="dxa"/>
              <w:right w:w="57" w:type="dxa"/>
            </w:tcMar>
            <w:vAlign w:val="center"/>
          </w:tcPr>
          <w:p>
            <w:pPr>
              <w:widowControl/>
              <w:spacing w:line="30" w:lineRule="atLeast"/>
              <w:jc w:val="center"/>
              <w:rPr>
                <w:rFonts w:hint="eastAsia" w:ascii="仿宋_GB2312" w:eastAsia="仿宋_GB2312"/>
                <w:color w:val="000000" w:themeColor="text1"/>
                <w:sz w:val="32"/>
                <w:szCs w:val="32"/>
                <w14:textFill>
                  <w14:solidFill>
                    <w14:schemeClr w14:val="tx1"/>
                  </w14:solidFill>
                </w14:textFill>
              </w:rPr>
            </w:pPr>
            <w:r>
              <w:rPr>
                <w:rFonts w:hint="eastAsia" w:ascii="仿宋_GB2312" w:hAnsi="宋体" w:eastAsia="仿宋_GB2312" w:cs="宋体"/>
                <w:color w:val="000000" w:themeColor="text1"/>
                <w:kern w:val="0"/>
                <w:sz w:val="32"/>
                <w:szCs w:val="32"/>
                <w:lang w:bidi="ar"/>
                <w14:textFill>
                  <w14:solidFill>
                    <w14:schemeClr w14:val="tx1"/>
                  </w14:solidFill>
                </w14:textFill>
              </w:rPr>
              <w:t>信息内容</w:t>
            </w:r>
          </w:p>
        </w:tc>
        <w:tc>
          <w:tcPr>
            <w:tcW w:w="3376" w:type="pct"/>
            <w:gridSpan w:val="3"/>
            <w:shd w:val="clear" w:color="auto" w:fill="auto"/>
            <w:tcMar>
              <w:left w:w="57" w:type="dxa"/>
              <w:right w:w="57" w:type="dxa"/>
            </w:tcMar>
            <w:vAlign w:val="center"/>
          </w:tcPr>
          <w:p>
            <w:pPr>
              <w:widowControl/>
              <w:spacing w:line="30" w:lineRule="atLeast"/>
              <w:jc w:val="center"/>
              <w:rPr>
                <w:rFonts w:hint="eastAsia" w:ascii="仿宋_GB2312" w:eastAsia="仿宋_GB2312"/>
                <w:color w:val="000000" w:themeColor="text1"/>
                <w:sz w:val="32"/>
                <w:szCs w:val="32"/>
                <w14:textFill>
                  <w14:solidFill>
                    <w14:schemeClr w14:val="tx1"/>
                  </w14:solidFill>
                </w14:textFill>
              </w:rPr>
            </w:pPr>
            <w:r>
              <w:rPr>
                <w:rFonts w:hint="eastAsia" w:ascii="仿宋_GB2312" w:hAnsi="宋体" w:eastAsia="仿宋_GB2312" w:cs="宋体"/>
                <w:color w:val="000000" w:themeColor="text1"/>
                <w:kern w:val="0"/>
                <w:sz w:val="32"/>
                <w:szCs w:val="32"/>
                <w:lang w:bidi="ar"/>
                <w14:textFill>
                  <w14:solidFill>
                    <w14:schemeClr w14:val="tx1"/>
                  </w14:solidFill>
                </w14:textFill>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3" w:hRule="atLeast"/>
          <w:jc w:val="center"/>
        </w:trPr>
        <w:tc>
          <w:tcPr>
            <w:tcW w:w="1623" w:type="pct"/>
            <w:shd w:val="clear" w:color="auto" w:fill="auto"/>
            <w:tcMar>
              <w:left w:w="57" w:type="dxa"/>
              <w:right w:w="57" w:type="dxa"/>
            </w:tcMar>
            <w:vAlign w:val="center"/>
          </w:tcPr>
          <w:p>
            <w:pPr>
              <w:widowControl/>
              <w:spacing w:line="30" w:lineRule="atLeast"/>
              <w:jc w:val="center"/>
              <w:rPr>
                <w:rFonts w:hint="eastAsia" w:ascii="仿宋_GB2312" w:eastAsia="仿宋_GB2312"/>
                <w:color w:val="000000" w:themeColor="text1"/>
                <w:sz w:val="32"/>
                <w:szCs w:val="32"/>
                <w14:textFill>
                  <w14:solidFill>
                    <w14:schemeClr w14:val="tx1"/>
                  </w14:solidFill>
                </w14:textFill>
              </w:rPr>
            </w:pPr>
            <w:r>
              <w:rPr>
                <w:rFonts w:hint="eastAsia" w:ascii="仿宋_GB2312" w:hAnsi="宋体" w:eastAsia="仿宋_GB2312" w:cs="宋体"/>
                <w:color w:val="000000" w:themeColor="text1"/>
                <w:kern w:val="0"/>
                <w:sz w:val="32"/>
                <w:szCs w:val="32"/>
                <w:lang w:bidi="ar"/>
                <w14:textFill>
                  <w14:solidFill>
                    <w14:schemeClr w14:val="tx1"/>
                  </w14:solidFill>
                </w14:textFill>
              </w:rPr>
              <w:t>行政许可</w:t>
            </w:r>
          </w:p>
        </w:tc>
        <w:tc>
          <w:tcPr>
            <w:tcW w:w="3376" w:type="pct"/>
            <w:gridSpan w:val="3"/>
            <w:shd w:val="clear" w:color="auto" w:fill="auto"/>
            <w:tcMar>
              <w:left w:w="57" w:type="dxa"/>
              <w:right w:w="57" w:type="dxa"/>
            </w:tcMar>
            <w:vAlign w:val="center"/>
          </w:tcPr>
          <w:p>
            <w:pPr>
              <w:widowControl/>
              <w:spacing w:line="30" w:lineRule="atLeast"/>
              <w:jc w:val="center"/>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3" w:hRule="atLeast"/>
          <w:jc w:val="center"/>
        </w:trPr>
        <w:tc>
          <w:tcPr>
            <w:tcW w:w="5000" w:type="pct"/>
            <w:gridSpan w:val="4"/>
            <w:shd w:val="clear" w:color="auto" w:fill="auto"/>
            <w:tcMar>
              <w:left w:w="57" w:type="dxa"/>
              <w:right w:w="57" w:type="dxa"/>
            </w:tcMar>
            <w:vAlign w:val="center"/>
          </w:tcPr>
          <w:p>
            <w:pPr>
              <w:widowControl/>
              <w:spacing w:line="30" w:lineRule="atLeast"/>
              <w:jc w:val="center"/>
              <w:rPr>
                <w:rFonts w:hint="eastAsia" w:ascii="仿宋_GB2312" w:eastAsia="仿宋_GB2312"/>
                <w:color w:val="000000" w:themeColor="text1"/>
                <w:sz w:val="32"/>
                <w:szCs w:val="32"/>
                <w14:textFill>
                  <w14:solidFill>
                    <w14:schemeClr w14:val="tx1"/>
                  </w14:solidFill>
                </w14:textFill>
              </w:rPr>
            </w:pPr>
            <w:r>
              <w:rPr>
                <w:rFonts w:hint="eastAsia" w:ascii="仿宋_GB2312" w:hAnsi="宋体" w:eastAsia="仿宋_GB2312" w:cs="宋体"/>
                <w:color w:val="000000" w:themeColor="text1"/>
                <w:kern w:val="0"/>
                <w:sz w:val="32"/>
                <w:szCs w:val="32"/>
                <w:lang w:bidi="ar"/>
                <w14:textFill>
                  <w14:solidFill>
                    <w14:schemeClr w14:val="tx1"/>
                  </w14:solidFill>
                </w14:textFill>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3" w:hRule="atLeast"/>
          <w:jc w:val="center"/>
        </w:trPr>
        <w:tc>
          <w:tcPr>
            <w:tcW w:w="1623" w:type="pct"/>
            <w:shd w:val="clear" w:color="auto" w:fill="auto"/>
            <w:tcMar>
              <w:left w:w="57" w:type="dxa"/>
              <w:right w:w="57" w:type="dxa"/>
            </w:tcMar>
            <w:vAlign w:val="center"/>
          </w:tcPr>
          <w:p>
            <w:pPr>
              <w:widowControl/>
              <w:spacing w:line="30" w:lineRule="atLeast"/>
              <w:jc w:val="center"/>
              <w:rPr>
                <w:rFonts w:hint="eastAsia" w:ascii="仿宋_GB2312" w:eastAsia="仿宋_GB2312"/>
                <w:color w:val="000000" w:themeColor="text1"/>
                <w:sz w:val="32"/>
                <w:szCs w:val="32"/>
                <w14:textFill>
                  <w14:solidFill>
                    <w14:schemeClr w14:val="tx1"/>
                  </w14:solidFill>
                </w14:textFill>
              </w:rPr>
            </w:pPr>
            <w:r>
              <w:rPr>
                <w:rFonts w:hint="eastAsia" w:ascii="仿宋_GB2312" w:hAnsi="宋体" w:eastAsia="仿宋_GB2312" w:cs="宋体"/>
                <w:color w:val="000000" w:themeColor="text1"/>
                <w:kern w:val="0"/>
                <w:sz w:val="32"/>
                <w:szCs w:val="32"/>
                <w:lang w:bidi="ar"/>
                <w14:textFill>
                  <w14:solidFill>
                    <w14:schemeClr w14:val="tx1"/>
                  </w14:solidFill>
                </w14:textFill>
              </w:rPr>
              <w:t>信息内容</w:t>
            </w:r>
          </w:p>
        </w:tc>
        <w:tc>
          <w:tcPr>
            <w:tcW w:w="3376" w:type="pct"/>
            <w:gridSpan w:val="3"/>
            <w:shd w:val="clear" w:color="auto" w:fill="auto"/>
            <w:tcMar>
              <w:left w:w="57" w:type="dxa"/>
              <w:right w:w="57" w:type="dxa"/>
            </w:tcMar>
            <w:vAlign w:val="center"/>
          </w:tcPr>
          <w:p>
            <w:pPr>
              <w:widowControl/>
              <w:spacing w:line="30" w:lineRule="atLeast"/>
              <w:jc w:val="center"/>
              <w:rPr>
                <w:rFonts w:hint="eastAsia" w:ascii="仿宋_GB2312" w:eastAsia="仿宋_GB2312"/>
                <w:color w:val="000000" w:themeColor="text1"/>
                <w:sz w:val="32"/>
                <w:szCs w:val="32"/>
                <w14:textFill>
                  <w14:solidFill>
                    <w14:schemeClr w14:val="tx1"/>
                  </w14:solidFill>
                </w14:textFill>
              </w:rPr>
            </w:pPr>
            <w:r>
              <w:rPr>
                <w:rFonts w:hint="eastAsia" w:ascii="仿宋_GB2312" w:hAnsi="宋体" w:eastAsia="仿宋_GB2312" w:cs="宋体"/>
                <w:color w:val="000000" w:themeColor="text1"/>
                <w:kern w:val="0"/>
                <w:sz w:val="32"/>
                <w:szCs w:val="32"/>
                <w:lang w:bidi="ar"/>
                <w14:textFill>
                  <w14:solidFill>
                    <w14:schemeClr w14:val="tx1"/>
                  </w14:solidFill>
                </w14:textFill>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3" w:hRule="atLeast"/>
          <w:jc w:val="center"/>
        </w:trPr>
        <w:tc>
          <w:tcPr>
            <w:tcW w:w="1623" w:type="pct"/>
            <w:shd w:val="clear" w:color="auto" w:fill="auto"/>
            <w:tcMar>
              <w:left w:w="57" w:type="dxa"/>
              <w:right w:w="57" w:type="dxa"/>
            </w:tcMar>
            <w:vAlign w:val="center"/>
          </w:tcPr>
          <w:p>
            <w:pPr>
              <w:widowControl/>
              <w:spacing w:line="30" w:lineRule="atLeast"/>
              <w:jc w:val="center"/>
              <w:rPr>
                <w:rFonts w:hint="eastAsia" w:ascii="仿宋_GB2312" w:eastAsia="仿宋_GB2312"/>
                <w:color w:val="000000" w:themeColor="text1"/>
                <w:sz w:val="32"/>
                <w:szCs w:val="32"/>
                <w14:textFill>
                  <w14:solidFill>
                    <w14:schemeClr w14:val="tx1"/>
                  </w14:solidFill>
                </w14:textFill>
              </w:rPr>
            </w:pPr>
            <w:r>
              <w:rPr>
                <w:rFonts w:hint="eastAsia" w:ascii="仿宋_GB2312" w:hAnsi="宋体" w:eastAsia="仿宋_GB2312" w:cs="宋体"/>
                <w:color w:val="000000" w:themeColor="text1"/>
                <w:kern w:val="0"/>
                <w:sz w:val="32"/>
                <w:szCs w:val="32"/>
                <w:lang w:bidi="ar"/>
                <w14:textFill>
                  <w14:solidFill>
                    <w14:schemeClr w14:val="tx1"/>
                  </w14:solidFill>
                </w14:textFill>
              </w:rPr>
              <w:t>行政处罚</w:t>
            </w:r>
          </w:p>
        </w:tc>
        <w:tc>
          <w:tcPr>
            <w:tcW w:w="3376" w:type="pct"/>
            <w:gridSpan w:val="3"/>
            <w:shd w:val="clear" w:color="auto" w:fill="auto"/>
            <w:tcMar>
              <w:left w:w="57" w:type="dxa"/>
              <w:right w:w="57" w:type="dxa"/>
            </w:tcMar>
            <w:vAlign w:val="center"/>
          </w:tcPr>
          <w:p>
            <w:pPr>
              <w:widowControl/>
              <w:spacing w:line="30" w:lineRule="atLeast"/>
              <w:jc w:val="center"/>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3" w:hRule="atLeast"/>
          <w:jc w:val="center"/>
        </w:trPr>
        <w:tc>
          <w:tcPr>
            <w:tcW w:w="1623" w:type="pct"/>
            <w:shd w:val="clear" w:color="auto" w:fill="auto"/>
            <w:tcMar>
              <w:left w:w="57" w:type="dxa"/>
              <w:right w:w="57" w:type="dxa"/>
            </w:tcMar>
            <w:vAlign w:val="center"/>
          </w:tcPr>
          <w:p>
            <w:pPr>
              <w:widowControl/>
              <w:spacing w:line="30" w:lineRule="atLeast"/>
              <w:jc w:val="center"/>
              <w:rPr>
                <w:rFonts w:hint="eastAsia" w:ascii="仿宋_GB2312" w:eastAsia="仿宋_GB2312"/>
                <w:color w:val="000000" w:themeColor="text1"/>
                <w:sz w:val="32"/>
                <w:szCs w:val="32"/>
                <w14:textFill>
                  <w14:solidFill>
                    <w14:schemeClr w14:val="tx1"/>
                  </w14:solidFill>
                </w14:textFill>
              </w:rPr>
            </w:pPr>
            <w:r>
              <w:rPr>
                <w:rFonts w:hint="eastAsia" w:ascii="仿宋_GB2312" w:hAnsi="宋体" w:eastAsia="仿宋_GB2312" w:cs="宋体"/>
                <w:color w:val="000000" w:themeColor="text1"/>
                <w:kern w:val="0"/>
                <w:sz w:val="32"/>
                <w:szCs w:val="32"/>
                <w:lang w:bidi="ar"/>
                <w14:textFill>
                  <w14:solidFill>
                    <w14:schemeClr w14:val="tx1"/>
                  </w14:solidFill>
                </w14:textFill>
              </w:rPr>
              <w:t>行政强制</w:t>
            </w:r>
          </w:p>
        </w:tc>
        <w:tc>
          <w:tcPr>
            <w:tcW w:w="3376" w:type="pct"/>
            <w:gridSpan w:val="3"/>
            <w:shd w:val="clear" w:color="auto" w:fill="auto"/>
            <w:tcMar>
              <w:left w:w="57" w:type="dxa"/>
              <w:right w:w="57" w:type="dxa"/>
            </w:tcMar>
            <w:vAlign w:val="center"/>
          </w:tcPr>
          <w:p>
            <w:pPr>
              <w:widowControl/>
              <w:spacing w:line="30" w:lineRule="atLeast"/>
              <w:jc w:val="center"/>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3" w:hRule="atLeast"/>
          <w:jc w:val="center"/>
        </w:trPr>
        <w:tc>
          <w:tcPr>
            <w:tcW w:w="5000" w:type="pct"/>
            <w:gridSpan w:val="4"/>
            <w:shd w:val="clear" w:color="auto" w:fill="auto"/>
            <w:tcMar>
              <w:left w:w="57" w:type="dxa"/>
              <w:right w:w="57" w:type="dxa"/>
            </w:tcMar>
            <w:vAlign w:val="center"/>
          </w:tcPr>
          <w:p>
            <w:pPr>
              <w:widowControl/>
              <w:spacing w:line="30" w:lineRule="atLeast"/>
              <w:jc w:val="center"/>
              <w:rPr>
                <w:rFonts w:hint="eastAsia" w:ascii="仿宋_GB2312" w:eastAsia="仿宋_GB2312"/>
                <w:color w:val="000000" w:themeColor="text1"/>
                <w:sz w:val="32"/>
                <w:szCs w:val="32"/>
                <w14:textFill>
                  <w14:solidFill>
                    <w14:schemeClr w14:val="tx1"/>
                  </w14:solidFill>
                </w14:textFill>
              </w:rPr>
            </w:pPr>
            <w:r>
              <w:rPr>
                <w:rFonts w:hint="eastAsia" w:ascii="仿宋_GB2312" w:hAnsi="宋体" w:eastAsia="仿宋_GB2312" w:cs="宋体"/>
                <w:color w:val="000000" w:themeColor="text1"/>
                <w:kern w:val="0"/>
                <w:sz w:val="32"/>
                <w:szCs w:val="32"/>
                <w:lang w:bidi="ar"/>
                <w14:textFill>
                  <w14:solidFill>
                    <w14:schemeClr w14:val="tx1"/>
                  </w14:solidFill>
                </w14:textFill>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3" w:hRule="atLeast"/>
          <w:jc w:val="center"/>
        </w:trPr>
        <w:tc>
          <w:tcPr>
            <w:tcW w:w="1623" w:type="pct"/>
            <w:shd w:val="clear" w:color="auto" w:fill="auto"/>
            <w:tcMar>
              <w:left w:w="57" w:type="dxa"/>
              <w:right w:w="57" w:type="dxa"/>
            </w:tcMar>
            <w:vAlign w:val="center"/>
          </w:tcPr>
          <w:p>
            <w:pPr>
              <w:widowControl/>
              <w:spacing w:line="30" w:lineRule="atLeast"/>
              <w:jc w:val="center"/>
              <w:rPr>
                <w:rFonts w:hint="eastAsia" w:ascii="仿宋_GB2312" w:eastAsia="仿宋_GB2312"/>
                <w:color w:val="000000" w:themeColor="text1"/>
                <w:sz w:val="32"/>
                <w:szCs w:val="32"/>
                <w14:textFill>
                  <w14:solidFill>
                    <w14:schemeClr w14:val="tx1"/>
                  </w14:solidFill>
                </w14:textFill>
              </w:rPr>
            </w:pPr>
            <w:r>
              <w:rPr>
                <w:rFonts w:hint="eastAsia" w:ascii="仿宋_GB2312" w:hAnsi="宋体" w:eastAsia="仿宋_GB2312" w:cs="宋体"/>
                <w:color w:val="000000" w:themeColor="text1"/>
                <w:kern w:val="0"/>
                <w:sz w:val="32"/>
                <w:szCs w:val="32"/>
                <w:lang w:bidi="ar"/>
                <w14:textFill>
                  <w14:solidFill>
                    <w14:schemeClr w14:val="tx1"/>
                  </w14:solidFill>
                </w14:textFill>
              </w:rPr>
              <w:t>信息内容</w:t>
            </w:r>
          </w:p>
        </w:tc>
        <w:tc>
          <w:tcPr>
            <w:tcW w:w="3376" w:type="pct"/>
            <w:gridSpan w:val="3"/>
            <w:shd w:val="clear" w:color="auto" w:fill="auto"/>
            <w:tcMar>
              <w:left w:w="57" w:type="dxa"/>
              <w:right w:w="57" w:type="dxa"/>
            </w:tcMar>
            <w:vAlign w:val="center"/>
          </w:tcPr>
          <w:p>
            <w:pPr>
              <w:widowControl/>
              <w:spacing w:line="30" w:lineRule="atLeast"/>
              <w:jc w:val="center"/>
              <w:rPr>
                <w:rFonts w:hint="eastAsia" w:ascii="仿宋_GB2312" w:eastAsia="仿宋_GB2312"/>
                <w:color w:val="000000" w:themeColor="text1"/>
                <w:sz w:val="32"/>
                <w:szCs w:val="32"/>
                <w14:textFill>
                  <w14:solidFill>
                    <w14:schemeClr w14:val="tx1"/>
                  </w14:solidFill>
                </w14:textFill>
              </w:rPr>
            </w:pPr>
            <w:r>
              <w:rPr>
                <w:rFonts w:hint="eastAsia" w:ascii="仿宋_GB2312" w:hAnsi="宋体" w:eastAsia="仿宋_GB2312" w:cs="宋体"/>
                <w:color w:val="000000" w:themeColor="text1"/>
                <w:kern w:val="0"/>
                <w:sz w:val="32"/>
                <w:szCs w:val="32"/>
                <w:lang w:bidi="ar"/>
                <w14:textFill>
                  <w14:solidFill>
                    <w14:schemeClr w14:val="tx1"/>
                  </w14:solidFill>
                </w14:textFill>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3" w:hRule="atLeast"/>
          <w:jc w:val="center"/>
        </w:trPr>
        <w:tc>
          <w:tcPr>
            <w:tcW w:w="1623" w:type="pct"/>
            <w:shd w:val="clear" w:color="auto" w:fill="auto"/>
            <w:tcMar>
              <w:left w:w="57" w:type="dxa"/>
              <w:right w:w="57" w:type="dxa"/>
            </w:tcMar>
            <w:vAlign w:val="center"/>
          </w:tcPr>
          <w:p>
            <w:pPr>
              <w:widowControl/>
              <w:spacing w:line="30" w:lineRule="atLeast"/>
              <w:jc w:val="center"/>
              <w:rPr>
                <w:rFonts w:hint="eastAsia" w:ascii="仿宋_GB2312" w:eastAsia="仿宋_GB2312"/>
                <w:color w:val="000000" w:themeColor="text1"/>
                <w:sz w:val="32"/>
                <w:szCs w:val="32"/>
                <w14:textFill>
                  <w14:solidFill>
                    <w14:schemeClr w14:val="tx1"/>
                  </w14:solidFill>
                </w14:textFill>
              </w:rPr>
            </w:pPr>
            <w:r>
              <w:rPr>
                <w:rFonts w:hint="eastAsia" w:ascii="仿宋_GB2312" w:hAnsi="宋体" w:eastAsia="仿宋_GB2312" w:cs="宋体"/>
                <w:color w:val="000000" w:themeColor="text1"/>
                <w:kern w:val="0"/>
                <w:sz w:val="32"/>
                <w:szCs w:val="32"/>
                <w:lang w:bidi="ar"/>
                <w14:textFill>
                  <w14:solidFill>
                    <w14:schemeClr w14:val="tx1"/>
                  </w14:solidFill>
                </w14:textFill>
              </w:rPr>
              <w:t>行政事业性收费</w:t>
            </w:r>
          </w:p>
        </w:tc>
        <w:tc>
          <w:tcPr>
            <w:tcW w:w="3376" w:type="pct"/>
            <w:gridSpan w:val="3"/>
            <w:shd w:val="clear" w:color="auto" w:fill="auto"/>
            <w:tcMar>
              <w:left w:w="57" w:type="dxa"/>
              <w:right w:w="57" w:type="dxa"/>
            </w:tcMar>
            <w:vAlign w:val="center"/>
          </w:tcPr>
          <w:p>
            <w:pPr>
              <w:jc w:val="center"/>
              <w:rPr>
                <w:rFonts w:hint="eastAsia" w:ascii="仿宋_GB2312" w:hAnsi="宋体" w:eastAsia="仿宋_GB2312" w:cs="宋体"/>
                <w:color w:val="000000" w:themeColor="text1"/>
                <w:sz w:val="32"/>
                <w:szCs w:val="32"/>
                <w:lang w:val="en-US" w:eastAsia="zh-CN"/>
                <w14:textFill>
                  <w14:solidFill>
                    <w14:schemeClr w14:val="tx1"/>
                  </w14:solidFill>
                </w14:textFill>
              </w:rPr>
            </w:pPr>
            <w:r>
              <w:rPr>
                <w:rFonts w:hint="eastAsia" w:ascii="仿宋_GB2312" w:hAnsi="宋体" w:eastAsia="仿宋_GB2312" w:cs="宋体"/>
                <w:color w:val="000000" w:themeColor="text1"/>
                <w:sz w:val="32"/>
                <w:szCs w:val="32"/>
                <w:lang w:val="en-US" w:eastAsia="zh-CN"/>
                <w14:textFill>
                  <w14:solidFill>
                    <w14:schemeClr w14:val="tx1"/>
                  </w14:solidFill>
                </w14:textFill>
              </w:rPr>
              <w:t>0</w:t>
            </w:r>
          </w:p>
        </w:tc>
      </w:tr>
    </w:tbl>
    <w:p>
      <w:pPr>
        <w:spacing w:line="640" w:lineRule="exact"/>
        <w:ind w:firstLine="640" w:firstLineChars="200"/>
        <w:rPr>
          <w:rFonts w:ascii="黑体" w:hAnsi="黑体" w:eastAsia="黑体"/>
          <w:sz w:val="32"/>
          <w:szCs w:val="32"/>
        </w:rPr>
      </w:pPr>
      <w:r>
        <w:rPr>
          <w:rFonts w:hint="eastAsia" w:ascii="黑体" w:hAnsi="黑体" w:eastAsia="黑体"/>
          <w:sz w:val="32"/>
          <w:szCs w:val="32"/>
        </w:rPr>
        <w:t>三、</w:t>
      </w:r>
      <w:r>
        <w:rPr>
          <w:rFonts w:hint="eastAsia" w:ascii="黑体" w:hAnsi="黑体" w:eastAsia="黑体" w:cs="黑体"/>
          <w:color w:val="333333"/>
          <w:sz w:val="32"/>
          <w:szCs w:val="32"/>
        </w:rPr>
        <w:t>收到和处理政府信息公开申请情况</w:t>
      </w:r>
    </w:p>
    <w:p>
      <w:pPr>
        <w:spacing w:line="640" w:lineRule="exact"/>
        <w:ind w:firstLine="640" w:firstLineChars="200"/>
        <w:rPr>
          <w:rFonts w:hint="eastAsia" w:ascii="仿宋_GB2312" w:hAnsi="仿宋_GB2312" w:eastAsia="仿宋_GB2312" w:cs="仿宋_GB2312"/>
          <w:sz w:val="36"/>
          <w:szCs w:val="36"/>
        </w:rPr>
      </w:pPr>
      <w:r>
        <w:rPr>
          <w:rFonts w:hint="eastAsia" w:ascii="仿宋" w:hAnsi="仿宋" w:eastAsia="仿宋" w:cs="仿宋"/>
          <w:sz w:val="32"/>
          <w:szCs w:val="32"/>
        </w:rPr>
        <w:t>2021年，我局没有收到政务信息公开申请。</w:t>
      </w:r>
    </w:p>
    <w:p>
      <w:pPr>
        <w:spacing w:line="640" w:lineRule="exact"/>
        <w:ind w:firstLine="720" w:firstLineChars="200"/>
        <w:jc w:val="center"/>
        <w:rPr>
          <w:rFonts w:ascii="仿宋" w:hAnsi="仿宋" w:eastAsia="仿宋"/>
          <w:sz w:val="32"/>
          <w:szCs w:val="32"/>
        </w:rPr>
      </w:pPr>
      <w:r>
        <w:rPr>
          <w:rFonts w:hint="eastAsia" w:ascii="方正小标宋简体" w:hAnsi="仿宋_GB2312" w:eastAsia="方正小标宋简体" w:cs="仿宋_GB2312"/>
          <w:sz w:val="36"/>
          <w:szCs w:val="36"/>
        </w:rPr>
        <w:t>依申请公开情况汇总表</w:t>
      </w:r>
    </w:p>
    <w:tbl>
      <w:tblPr>
        <w:tblStyle w:val="5"/>
        <w:tblW w:w="4999"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57" w:type="dxa"/>
          <w:bottom w:w="0" w:type="dxa"/>
          <w:right w:w="57" w:type="dxa"/>
        </w:tblCellMar>
      </w:tblPr>
      <w:tblGrid>
        <w:gridCol w:w="653"/>
        <w:gridCol w:w="798"/>
        <w:gridCol w:w="2847"/>
        <w:gridCol w:w="595"/>
        <w:gridCol w:w="595"/>
        <w:gridCol w:w="595"/>
        <w:gridCol w:w="595"/>
        <w:gridCol w:w="595"/>
        <w:gridCol w:w="600"/>
        <w:gridCol w:w="59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9" w:type="pct"/>
            <w:gridSpan w:val="3"/>
            <w:vMerge w:val="restart"/>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widowControl/>
              <w:spacing w:line="30" w:lineRule="atLeast"/>
              <w:jc w:val="left"/>
            </w:pPr>
            <w:r>
              <w:rPr>
                <w:rFonts w:hint="eastAsia" w:ascii="楷体" w:hAnsi="楷体" w:eastAsia="楷体" w:cs="楷体"/>
                <w:color w:val="333333"/>
                <w:kern w:val="0"/>
                <w:sz w:val="20"/>
                <w:szCs w:val="20"/>
                <w:lang w:bidi="ar"/>
              </w:rPr>
              <w:t>（本列数据的勾稽关系为：第一项加第二项之和，等于第三项加第四项之和）</w:t>
            </w:r>
          </w:p>
        </w:tc>
        <w:tc>
          <w:tcPr>
            <w:tcW w:w="2460" w:type="pct"/>
            <w:gridSpan w:val="7"/>
            <w:tcBorders>
              <w:top w:val="single" w:color="auto" w:sz="8" w:space="0"/>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9"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jc w:val="left"/>
              <w:rPr>
                <w:rFonts w:ascii="宋体" w:hAnsi="宋体" w:eastAsia="宋体" w:cs="宋体"/>
                <w:color w:val="333333"/>
                <w:szCs w:val="21"/>
              </w:rPr>
            </w:pPr>
          </w:p>
        </w:tc>
        <w:tc>
          <w:tcPr>
            <w:tcW w:w="351" w:type="pct"/>
            <w:vMerge w:val="restar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自然人</w:t>
            </w:r>
          </w:p>
        </w:tc>
        <w:tc>
          <w:tcPr>
            <w:tcW w:w="1758" w:type="pct"/>
            <w:gridSpan w:val="5"/>
            <w:tcBorders>
              <w:top w:val="single" w:color="auto" w:sz="8" w:space="0"/>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法人或其他组织</w:t>
            </w:r>
          </w:p>
        </w:tc>
        <w:tc>
          <w:tcPr>
            <w:tcW w:w="351" w:type="pct"/>
            <w:vMerge w:val="restart"/>
            <w:tcBorders>
              <w:top w:val="single" w:color="auto" w:sz="8" w:space="0"/>
              <w:left w:val="nil"/>
              <w:bottom w:val="outset" w:color="auto" w:sz="6"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9"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jc w:val="left"/>
              <w:rPr>
                <w:rFonts w:ascii="宋体" w:hAnsi="宋体" w:eastAsia="宋体" w:cs="宋体"/>
                <w:color w:val="333333"/>
                <w:szCs w:val="21"/>
              </w:rPr>
            </w:pPr>
          </w:p>
        </w:tc>
        <w:tc>
          <w:tcPr>
            <w:tcW w:w="351" w:type="pct"/>
            <w:vMerge w:val="continue"/>
            <w:tcBorders>
              <w:top w:val="nil"/>
              <w:left w:val="nil"/>
              <w:bottom w:val="single" w:color="auto" w:sz="8" w:space="0"/>
              <w:right w:val="single" w:color="auto" w:sz="8" w:space="0"/>
            </w:tcBorders>
            <w:shd w:val="clear" w:color="auto" w:fill="auto"/>
            <w:vAlign w:val="center"/>
          </w:tcPr>
          <w:p>
            <w:pPr>
              <w:jc w:val="left"/>
              <w:rPr>
                <w:rFonts w:ascii="宋体" w:hAnsi="宋体" w:eastAsia="宋体" w:cs="宋体"/>
                <w:color w:val="333333"/>
                <w:szCs w:val="21"/>
              </w:rPr>
            </w:pP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商业</w:t>
            </w:r>
          </w:p>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企业</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科研</w:t>
            </w:r>
          </w:p>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机构</w:t>
            </w:r>
          </w:p>
        </w:tc>
        <w:tc>
          <w:tcPr>
            <w:tcW w:w="351" w:type="pct"/>
            <w:tcBorders>
              <w:top w:val="single" w:color="auto" w:sz="8" w:space="0"/>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社会公益组织</w:t>
            </w:r>
          </w:p>
        </w:tc>
        <w:tc>
          <w:tcPr>
            <w:tcW w:w="351" w:type="pct"/>
            <w:tcBorders>
              <w:top w:val="single" w:color="auto" w:sz="8" w:space="0"/>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法律服务机构</w:t>
            </w:r>
          </w:p>
        </w:tc>
        <w:tc>
          <w:tcPr>
            <w:tcW w:w="352" w:type="pct"/>
            <w:tcBorders>
              <w:top w:val="single" w:color="auto" w:sz="8" w:space="0"/>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其他</w:t>
            </w:r>
          </w:p>
        </w:tc>
        <w:tc>
          <w:tcPr>
            <w:tcW w:w="351" w:type="pct"/>
            <w:vMerge w:val="continue"/>
            <w:tcBorders>
              <w:top w:val="single" w:color="auto" w:sz="8" w:space="0"/>
              <w:left w:val="nil"/>
              <w:bottom w:val="outset" w:color="auto" w:sz="6" w:space="0"/>
              <w:right w:val="single" w:color="auto" w:sz="8" w:space="0"/>
            </w:tcBorders>
            <w:shd w:val="clear" w:color="auto" w:fill="auto"/>
            <w:vAlign w:val="center"/>
          </w:tcPr>
          <w:p>
            <w:pPr>
              <w:jc w:val="left"/>
              <w:rPr>
                <w:rFonts w:ascii="宋体" w:hAnsi="宋体" w:eastAsia="宋体" w:cs="宋体"/>
                <w:color w:val="333333"/>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9" w:type="pct"/>
            <w:gridSpan w:val="3"/>
            <w:tcBorders>
              <w:top w:val="nil"/>
              <w:left w:val="single" w:color="auto" w:sz="8" w:space="0"/>
              <w:bottom w:val="single" w:color="auto" w:sz="8" w:space="0"/>
              <w:right w:val="single" w:color="auto" w:sz="8" w:space="0"/>
            </w:tcBorders>
            <w:shd w:val="clear" w:color="auto" w:fill="auto"/>
            <w:vAlign w:val="center"/>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lang w:bidi="ar"/>
              </w:rPr>
              <w:t>一、本年新收政府信息公开申请数量</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2"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9" w:type="pct"/>
            <w:gridSpan w:val="3"/>
            <w:tcBorders>
              <w:top w:val="nil"/>
              <w:left w:val="single" w:color="auto" w:sz="8" w:space="0"/>
              <w:bottom w:val="single" w:color="auto" w:sz="8" w:space="0"/>
              <w:right w:val="single" w:color="auto" w:sz="8" w:space="0"/>
            </w:tcBorders>
            <w:shd w:val="clear" w:color="auto" w:fill="auto"/>
            <w:vAlign w:val="center"/>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lang w:bidi="ar"/>
              </w:rPr>
              <w:t>二、上年结转政府信息公开申请数量</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2"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restart"/>
            <w:tcBorders>
              <w:top w:val="nil"/>
              <w:left w:val="single" w:color="auto" w:sz="8" w:space="0"/>
              <w:bottom w:val="outset" w:color="auto" w:sz="6" w:space="0"/>
              <w:right w:val="single" w:color="auto" w:sz="8" w:space="0"/>
            </w:tcBorders>
            <w:shd w:val="clear" w:color="auto" w:fill="auto"/>
            <w:vAlign w:val="center"/>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lang w:bidi="ar"/>
              </w:rPr>
              <w:t>三、本年度办理结果</w:t>
            </w:r>
          </w:p>
        </w:tc>
        <w:tc>
          <w:tcPr>
            <w:tcW w:w="2152" w:type="pct"/>
            <w:gridSpan w:val="2"/>
            <w:tcBorders>
              <w:top w:val="nil"/>
              <w:left w:val="nil"/>
              <w:bottom w:val="single" w:color="auto" w:sz="8" w:space="0"/>
              <w:right w:val="single" w:color="auto" w:sz="8" w:space="0"/>
            </w:tcBorders>
            <w:shd w:val="clear" w:color="auto" w:fill="auto"/>
            <w:vAlign w:val="center"/>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lang w:bidi="ar"/>
              </w:rPr>
              <w:t>（一）予以公开</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2"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hint="eastAsia" w:ascii="宋体" w:hAnsi="宋体" w:eastAsia="宋体" w:cs="宋体"/>
                <w:szCs w:val="21"/>
                <w:lang w:val="en-US" w:eastAsia="zh-CN"/>
              </w:rPr>
            </w:pPr>
            <w:r>
              <w:rPr>
                <w:rFonts w:hint="eastAsia" w:ascii="宋体" w:hAnsi="宋体" w:eastAsia="宋体" w:cs="宋体"/>
                <w:color w:val="333333"/>
                <w:kern w:val="0"/>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2152" w:type="pct"/>
            <w:gridSpan w:val="2"/>
            <w:tcBorders>
              <w:top w:val="nil"/>
              <w:left w:val="nil"/>
              <w:bottom w:val="single" w:color="auto" w:sz="8" w:space="0"/>
              <w:right w:val="single" w:color="auto" w:sz="8" w:space="0"/>
            </w:tcBorders>
            <w:shd w:val="clear" w:color="auto" w:fill="auto"/>
            <w:vAlign w:val="center"/>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lang w:bidi="ar"/>
              </w:rPr>
              <w:t>（二）部分公开（区分处理的，只计这一情形，不计其他情形）</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2"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hint="eastAsia" w:ascii="宋体" w:hAnsi="宋体" w:eastAsia="宋体" w:cs="宋体"/>
                <w:szCs w:val="21"/>
                <w:lang w:val="en-US" w:eastAsia="zh-CN"/>
              </w:rPr>
            </w:pPr>
            <w:r>
              <w:rPr>
                <w:rFonts w:hint="eastAsia" w:ascii="宋体" w:hAnsi="宋体" w:eastAsia="宋体" w:cs="宋体"/>
                <w:color w:val="333333"/>
                <w:kern w:val="0"/>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2" w:type="pct"/>
            <w:vMerge w:val="restart"/>
            <w:tcBorders>
              <w:top w:val="nil"/>
              <w:left w:val="nil"/>
              <w:bottom w:val="outset" w:color="auto" w:sz="6" w:space="0"/>
              <w:right w:val="single" w:color="auto" w:sz="8" w:space="0"/>
            </w:tcBorders>
            <w:shd w:val="clear" w:color="auto" w:fill="auto"/>
            <w:vAlign w:val="center"/>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lang w:bidi="ar"/>
              </w:rPr>
              <w:t>（三）不予公开</w:t>
            </w:r>
          </w:p>
        </w:tc>
        <w:tc>
          <w:tcPr>
            <w:tcW w:w="1679" w:type="pct"/>
            <w:tcBorders>
              <w:top w:val="nil"/>
              <w:left w:val="nil"/>
              <w:bottom w:val="single" w:color="auto" w:sz="8" w:space="0"/>
              <w:right w:val="single" w:color="auto" w:sz="8" w:space="0"/>
            </w:tcBorders>
            <w:shd w:val="clear" w:color="auto" w:fill="auto"/>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lang w:bidi="ar"/>
              </w:rPr>
              <w:t>1.属于国家秘密</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2"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hint="eastAsia" w:ascii="宋体" w:hAnsi="宋体" w:eastAsia="宋体" w:cs="宋体"/>
                <w:szCs w:val="21"/>
                <w:lang w:val="en-US" w:eastAsia="zh-CN"/>
              </w:rPr>
            </w:pPr>
            <w:r>
              <w:rPr>
                <w:rFonts w:hint="eastAsia" w:ascii="宋体" w:hAnsi="宋体" w:eastAsia="宋体" w:cs="宋体"/>
                <w:color w:val="333333"/>
                <w:kern w:val="0"/>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1679" w:type="pct"/>
            <w:tcBorders>
              <w:top w:val="nil"/>
              <w:left w:val="nil"/>
              <w:bottom w:val="single" w:color="auto" w:sz="8" w:space="0"/>
              <w:right w:val="single" w:color="auto" w:sz="8" w:space="0"/>
            </w:tcBorders>
            <w:shd w:val="clear" w:color="auto" w:fill="auto"/>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lang w:bidi="ar"/>
              </w:rPr>
              <w:t>2.其他法律行政法规禁止公开</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2"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hint="eastAsia" w:ascii="宋体" w:hAnsi="宋体" w:eastAsia="宋体" w:cs="宋体"/>
                <w:szCs w:val="21"/>
                <w:lang w:val="en-US" w:eastAsia="zh-CN"/>
              </w:rPr>
            </w:pPr>
            <w:r>
              <w:rPr>
                <w:rFonts w:hint="eastAsia" w:ascii="宋体" w:hAnsi="宋体" w:eastAsia="宋体" w:cs="宋体"/>
                <w:color w:val="333333"/>
                <w:kern w:val="0"/>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1679" w:type="pct"/>
            <w:tcBorders>
              <w:top w:val="nil"/>
              <w:left w:val="nil"/>
              <w:bottom w:val="single" w:color="auto" w:sz="8" w:space="0"/>
              <w:right w:val="single" w:color="auto" w:sz="8" w:space="0"/>
            </w:tcBorders>
            <w:shd w:val="clear" w:color="auto" w:fill="auto"/>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lang w:bidi="ar"/>
              </w:rPr>
              <w:t>3.危及“三安全一稳定”</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2"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hint="eastAsia" w:ascii="宋体" w:hAnsi="宋体" w:eastAsia="宋体" w:cs="宋体"/>
                <w:szCs w:val="21"/>
                <w:lang w:val="en-US" w:eastAsia="zh-CN"/>
              </w:rPr>
            </w:pPr>
            <w:r>
              <w:rPr>
                <w:rFonts w:hint="eastAsia" w:ascii="宋体" w:hAnsi="宋体" w:eastAsia="宋体" w:cs="宋体"/>
                <w:color w:val="333333"/>
                <w:kern w:val="0"/>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1679" w:type="pct"/>
            <w:tcBorders>
              <w:top w:val="nil"/>
              <w:left w:val="nil"/>
              <w:bottom w:val="single" w:color="auto" w:sz="8" w:space="0"/>
              <w:right w:val="single" w:color="auto" w:sz="8" w:space="0"/>
            </w:tcBorders>
            <w:shd w:val="clear" w:color="auto" w:fill="auto"/>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lang w:bidi="ar"/>
              </w:rPr>
              <w:t>4.保护第三方合法权益</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2"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hint="default" w:ascii="宋体" w:hAnsi="宋体" w:eastAsia="宋体" w:cs="宋体"/>
                <w:szCs w:val="21"/>
                <w:lang w:val="en-US" w:eastAsia="zh-CN"/>
              </w:rPr>
            </w:pPr>
            <w:r>
              <w:rPr>
                <w:rFonts w:hint="eastAsia" w:ascii="宋体" w:hAnsi="宋体" w:eastAsia="宋体" w:cs="宋体"/>
                <w:color w:val="333333"/>
                <w:kern w:val="0"/>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1679" w:type="pct"/>
            <w:tcBorders>
              <w:top w:val="nil"/>
              <w:left w:val="nil"/>
              <w:bottom w:val="single" w:color="auto" w:sz="8" w:space="0"/>
              <w:right w:val="single" w:color="auto" w:sz="8" w:space="0"/>
            </w:tcBorders>
            <w:shd w:val="clear" w:color="auto" w:fill="auto"/>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lang w:bidi="ar"/>
              </w:rPr>
              <w:t>5.属于三类内部事务信息</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2"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hint="eastAsia" w:ascii="宋体" w:hAnsi="宋体" w:eastAsia="宋体" w:cs="宋体"/>
                <w:szCs w:val="21"/>
                <w:lang w:val="en-US" w:eastAsia="zh-CN"/>
              </w:rPr>
            </w:pPr>
            <w:r>
              <w:rPr>
                <w:rFonts w:hint="eastAsia" w:ascii="宋体" w:hAnsi="宋体" w:eastAsia="宋体" w:cs="宋体"/>
                <w:color w:val="333333"/>
                <w:kern w:val="0"/>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1679" w:type="pct"/>
            <w:tcBorders>
              <w:top w:val="nil"/>
              <w:left w:val="nil"/>
              <w:bottom w:val="single" w:color="auto" w:sz="8" w:space="0"/>
              <w:right w:val="single" w:color="auto" w:sz="8" w:space="0"/>
            </w:tcBorders>
            <w:shd w:val="clear" w:color="auto" w:fill="auto"/>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lang w:bidi="ar"/>
              </w:rPr>
              <w:t>6.属于四类过程性信息</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2"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hint="eastAsia" w:ascii="宋体" w:hAnsi="宋体" w:eastAsia="宋体" w:cs="宋体"/>
                <w:szCs w:val="21"/>
                <w:lang w:val="en-US" w:eastAsia="zh-CN"/>
              </w:rPr>
            </w:pPr>
            <w:r>
              <w:rPr>
                <w:rFonts w:hint="eastAsia" w:ascii="宋体" w:hAnsi="宋体" w:eastAsia="宋体" w:cs="宋体"/>
                <w:color w:val="333333"/>
                <w:kern w:val="0"/>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1679" w:type="pct"/>
            <w:tcBorders>
              <w:top w:val="nil"/>
              <w:left w:val="nil"/>
              <w:bottom w:val="single" w:color="auto" w:sz="8" w:space="0"/>
              <w:right w:val="single" w:color="auto" w:sz="8" w:space="0"/>
            </w:tcBorders>
            <w:shd w:val="clear" w:color="auto" w:fill="auto"/>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lang w:bidi="ar"/>
              </w:rPr>
              <w:t>7.属于行政执法案卷</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2"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hint="eastAsia" w:ascii="宋体" w:hAnsi="宋体" w:eastAsia="宋体" w:cs="宋体"/>
                <w:szCs w:val="21"/>
                <w:lang w:val="en-US" w:eastAsia="zh-CN"/>
              </w:rPr>
            </w:pPr>
            <w:r>
              <w:rPr>
                <w:rFonts w:hint="eastAsia" w:ascii="宋体" w:hAnsi="宋体" w:eastAsia="宋体" w:cs="宋体"/>
                <w:color w:val="333333"/>
                <w:kern w:val="0"/>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1679" w:type="pct"/>
            <w:tcBorders>
              <w:top w:val="nil"/>
              <w:left w:val="nil"/>
              <w:bottom w:val="single" w:color="auto" w:sz="8" w:space="0"/>
              <w:right w:val="single" w:color="auto" w:sz="8" w:space="0"/>
            </w:tcBorders>
            <w:shd w:val="clear" w:color="auto" w:fill="auto"/>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lang w:bidi="ar"/>
              </w:rPr>
              <w:t>8.属于行政查询事项</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2"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hint="eastAsia" w:ascii="宋体" w:hAnsi="宋体" w:eastAsia="宋体" w:cs="宋体"/>
                <w:szCs w:val="21"/>
                <w:lang w:val="en-US" w:eastAsia="zh-CN"/>
              </w:rPr>
            </w:pPr>
            <w:r>
              <w:rPr>
                <w:rFonts w:hint="eastAsia" w:ascii="宋体" w:hAnsi="宋体" w:eastAsia="宋体" w:cs="宋体"/>
                <w:color w:val="333333"/>
                <w:kern w:val="0"/>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2" w:type="pct"/>
            <w:vMerge w:val="restart"/>
            <w:tcBorders>
              <w:top w:val="nil"/>
              <w:left w:val="nil"/>
              <w:bottom w:val="outset" w:color="auto" w:sz="6" w:space="0"/>
              <w:right w:val="single" w:color="auto" w:sz="8" w:space="0"/>
            </w:tcBorders>
            <w:shd w:val="clear" w:color="auto" w:fill="auto"/>
            <w:vAlign w:val="center"/>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lang w:bidi="ar"/>
              </w:rPr>
              <w:t>（四）无法提供</w:t>
            </w:r>
          </w:p>
        </w:tc>
        <w:tc>
          <w:tcPr>
            <w:tcW w:w="1679" w:type="pct"/>
            <w:tcBorders>
              <w:top w:val="nil"/>
              <w:left w:val="nil"/>
              <w:bottom w:val="single" w:color="auto" w:sz="8" w:space="0"/>
              <w:right w:val="single" w:color="auto" w:sz="8" w:space="0"/>
            </w:tcBorders>
            <w:shd w:val="clear" w:color="auto" w:fill="auto"/>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lang w:bidi="ar"/>
              </w:rPr>
              <w:t>1.本机关不掌握相关政府信息</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2"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hint="eastAsia" w:ascii="宋体" w:hAnsi="宋体" w:eastAsia="宋体" w:cs="宋体"/>
                <w:szCs w:val="21"/>
                <w:lang w:val="en-US" w:eastAsia="zh-CN"/>
              </w:rPr>
            </w:pPr>
            <w:r>
              <w:rPr>
                <w:rFonts w:hint="eastAsia" w:ascii="宋体" w:hAnsi="宋体" w:eastAsia="宋体" w:cs="宋体"/>
                <w:color w:val="333333"/>
                <w:kern w:val="0"/>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1679" w:type="pct"/>
            <w:tcBorders>
              <w:top w:val="nil"/>
              <w:left w:val="nil"/>
              <w:bottom w:val="single" w:color="auto" w:sz="8" w:space="0"/>
              <w:right w:val="single" w:color="auto" w:sz="8" w:space="0"/>
            </w:tcBorders>
            <w:shd w:val="clear" w:color="auto" w:fill="auto"/>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lang w:bidi="ar"/>
              </w:rPr>
              <w:t>2.没有现成信息需要另行制作</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2"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1679" w:type="pct"/>
            <w:tcBorders>
              <w:top w:val="nil"/>
              <w:left w:val="nil"/>
              <w:bottom w:val="single" w:color="auto" w:sz="8" w:space="0"/>
              <w:right w:val="single" w:color="auto" w:sz="8" w:space="0"/>
            </w:tcBorders>
            <w:shd w:val="clear" w:color="auto" w:fill="auto"/>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lang w:bidi="ar"/>
              </w:rPr>
              <w:t>3.补正后申请内容仍不明确</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2"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hint="eastAsia" w:ascii="宋体" w:hAnsi="宋体" w:eastAsia="宋体" w:cs="宋体"/>
                <w:szCs w:val="21"/>
                <w:lang w:val="en-US" w:eastAsia="zh-CN"/>
              </w:rPr>
            </w:pPr>
            <w:r>
              <w:rPr>
                <w:rFonts w:hint="eastAsia" w:ascii="宋体" w:hAnsi="宋体" w:eastAsia="宋体" w:cs="宋体"/>
                <w:color w:val="333333"/>
                <w:kern w:val="0"/>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2" w:type="pct"/>
            <w:vMerge w:val="restart"/>
            <w:tcBorders>
              <w:top w:val="nil"/>
              <w:left w:val="nil"/>
              <w:bottom w:val="outset" w:color="auto" w:sz="6" w:space="0"/>
              <w:right w:val="single" w:color="auto" w:sz="8" w:space="0"/>
            </w:tcBorders>
            <w:shd w:val="clear" w:color="auto" w:fill="auto"/>
            <w:vAlign w:val="center"/>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lang w:bidi="ar"/>
              </w:rPr>
              <w:t>（五）不予处理</w:t>
            </w:r>
          </w:p>
        </w:tc>
        <w:tc>
          <w:tcPr>
            <w:tcW w:w="1679" w:type="pct"/>
            <w:tcBorders>
              <w:top w:val="nil"/>
              <w:left w:val="nil"/>
              <w:bottom w:val="single" w:color="auto" w:sz="8" w:space="0"/>
              <w:right w:val="single" w:color="auto" w:sz="8" w:space="0"/>
            </w:tcBorders>
            <w:shd w:val="clear" w:color="auto" w:fill="auto"/>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lang w:bidi="ar"/>
              </w:rPr>
              <w:t>1.信访举报投诉类申请</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2"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hint="eastAsia" w:ascii="宋体" w:hAnsi="宋体" w:eastAsia="宋体" w:cs="宋体"/>
                <w:szCs w:val="21"/>
                <w:lang w:val="en-US" w:eastAsia="zh-CN"/>
              </w:rPr>
            </w:pPr>
            <w:r>
              <w:rPr>
                <w:rFonts w:hint="eastAsia" w:ascii="宋体" w:hAnsi="宋体" w:eastAsia="宋体" w:cs="宋体"/>
                <w:color w:val="333333"/>
                <w:kern w:val="0"/>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1679" w:type="pct"/>
            <w:tcBorders>
              <w:top w:val="single" w:color="auto" w:sz="8" w:space="0"/>
              <w:left w:val="nil"/>
              <w:bottom w:val="single" w:color="auto" w:sz="8" w:space="0"/>
              <w:right w:val="single" w:color="auto" w:sz="8" w:space="0"/>
            </w:tcBorders>
            <w:shd w:val="clear" w:color="auto" w:fill="auto"/>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lang w:bidi="ar"/>
              </w:rPr>
              <w:t>2.重复申请</w:t>
            </w:r>
          </w:p>
        </w:tc>
        <w:tc>
          <w:tcPr>
            <w:tcW w:w="351"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2"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1679" w:type="pct"/>
            <w:tcBorders>
              <w:top w:val="single" w:color="auto" w:sz="8" w:space="0"/>
              <w:left w:val="nil"/>
              <w:bottom w:val="single" w:color="auto" w:sz="8" w:space="0"/>
              <w:right w:val="single" w:color="auto" w:sz="8" w:space="0"/>
            </w:tcBorders>
            <w:shd w:val="clear" w:color="auto" w:fill="auto"/>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lang w:bidi="ar"/>
              </w:rPr>
              <w:t>3.要求提供公开出版物</w:t>
            </w:r>
          </w:p>
        </w:tc>
        <w:tc>
          <w:tcPr>
            <w:tcW w:w="351"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2"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1679" w:type="pct"/>
            <w:tcBorders>
              <w:top w:val="single" w:color="auto" w:sz="8" w:space="0"/>
              <w:left w:val="nil"/>
              <w:bottom w:val="single" w:color="auto" w:sz="8" w:space="0"/>
              <w:right w:val="single" w:color="auto" w:sz="8" w:space="0"/>
            </w:tcBorders>
            <w:shd w:val="clear" w:color="auto" w:fill="auto"/>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lang w:bidi="ar"/>
              </w:rPr>
              <w:t>4.无正当理由大量反复申请</w:t>
            </w:r>
          </w:p>
        </w:tc>
        <w:tc>
          <w:tcPr>
            <w:tcW w:w="351"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2"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779" w:hRule="atLeast"/>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1679" w:type="pct"/>
            <w:tcBorders>
              <w:top w:val="nil"/>
              <w:left w:val="nil"/>
              <w:bottom w:val="outset" w:color="auto" w:sz="6" w:space="0"/>
              <w:right w:val="single" w:color="auto" w:sz="8" w:space="0"/>
            </w:tcBorders>
            <w:shd w:val="clear" w:color="auto" w:fill="auto"/>
            <w:vAlign w:val="center"/>
          </w:tcPr>
          <w:p>
            <w:pPr>
              <w:widowControl/>
              <w:spacing w:line="30" w:lineRule="atLeast"/>
              <w:rPr>
                <w:rFonts w:asciiTheme="minorEastAsia" w:hAnsiTheme="minorEastAsia" w:cstheme="minorEastAsia"/>
                <w:szCs w:val="21"/>
              </w:rPr>
            </w:pPr>
            <w:r>
              <w:rPr>
                <w:rFonts w:hint="eastAsia" w:asciiTheme="minorEastAsia" w:hAnsiTheme="minorEastAsia" w:cstheme="minorEastAsia"/>
                <w:color w:val="333333"/>
                <w:kern w:val="0"/>
                <w:szCs w:val="21"/>
                <w:lang w:bidi="ar"/>
              </w:rPr>
              <w:t>5.要求行政机关确认或重新出具已获取信息</w:t>
            </w:r>
          </w:p>
        </w:tc>
        <w:tc>
          <w:tcPr>
            <w:tcW w:w="351" w:type="pct"/>
            <w:tcBorders>
              <w:top w:val="nil"/>
              <w:left w:val="nil"/>
              <w:bottom w:val="outset" w:color="auto" w:sz="6"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outset" w:color="auto" w:sz="6"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outset" w:color="auto" w:sz="6"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outset" w:color="auto" w:sz="6"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outset" w:color="auto" w:sz="6"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2" w:type="pct"/>
            <w:tcBorders>
              <w:top w:val="nil"/>
              <w:left w:val="nil"/>
              <w:bottom w:val="outset" w:color="auto" w:sz="6"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outset" w:color="auto" w:sz="6"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2" w:type="pct"/>
            <w:vMerge w:val="restart"/>
            <w:tcBorders>
              <w:top w:val="outset" w:color="auto" w:sz="6" w:space="0"/>
              <w:left w:val="nil"/>
              <w:bottom w:val="outset" w:color="auto" w:sz="6" w:space="0"/>
              <w:right w:val="single" w:color="auto" w:sz="8" w:space="0"/>
            </w:tcBorders>
            <w:shd w:val="clear" w:color="auto" w:fill="auto"/>
            <w:vAlign w:val="center"/>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lang w:bidi="ar"/>
              </w:rPr>
              <w:t>（六）其他处理</w:t>
            </w:r>
          </w:p>
        </w:tc>
        <w:tc>
          <w:tcPr>
            <w:tcW w:w="1679" w:type="pct"/>
            <w:tcBorders>
              <w:top w:val="nil"/>
              <w:left w:val="nil"/>
              <w:bottom w:val="single" w:color="auto" w:sz="8" w:space="0"/>
              <w:right w:val="single" w:color="auto" w:sz="8" w:space="0"/>
            </w:tcBorders>
            <w:shd w:val="clear" w:color="auto" w:fill="auto"/>
            <w:vAlign w:val="center"/>
          </w:tcPr>
          <w:p>
            <w:pPr>
              <w:widowControl/>
              <w:spacing w:line="30" w:lineRule="atLeast"/>
              <w:rPr>
                <w:rFonts w:asciiTheme="minorEastAsia" w:hAnsiTheme="minorEastAsia" w:cstheme="minorEastAsia"/>
                <w:szCs w:val="21"/>
              </w:rPr>
            </w:pPr>
            <w:r>
              <w:rPr>
                <w:rFonts w:hint="eastAsia" w:asciiTheme="minorEastAsia" w:hAnsiTheme="minorEastAsia" w:cstheme="minorEastAsia"/>
                <w:color w:val="333333"/>
                <w:kern w:val="0"/>
                <w:szCs w:val="21"/>
                <w:lang w:bidi="ar"/>
              </w:rPr>
              <w:t>1.申请人无正当理由逾期不补正、行政机关不再处理其政府信息公开申请</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2"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2" w:type="pct"/>
            <w:vMerge w:val="continue"/>
            <w:tcBorders>
              <w:top w:val="outset" w:color="auto" w:sz="6" w:space="0"/>
              <w:left w:val="nil"/>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1679" w:type="pct"/>
            <w:tcBorders>
              <w:top w:val="nil"/>
              <w:left w:val="nil"/>
              <w:bottom w:val="single" w:color="auto" w:sz="8" w:space="0"/>
              <w:right w:val="single" w:color="auto" w:sz="8" w:space="0"/>
            </w:tcBorders>
            <w:shd w:val="clear" w:color="auto" w:fill="auto"/>
            <w:vAlign w:val="center"/>
          </w:tcPr>
          <w:p>
            <w:pPr>
              <w:widowControl/>
              <w:spacing w:line="30" w:lineRule="atLeast"/>
              <w:rPr>
                <w:rFonts w:asciiTheme="minorEastAsia" w:hAnsiTheme="minorEastAsia" w:cstheme="minorEastAsia"/>
                <w:szCs w:val="21"/>
              </w:rPr>
            </w:pPr>
            <w:r>
              <w:rPr>
                <w:rFonts w:hint="eastAsia" w:asciiTheme="minorEastAsia" w:hAnsiTheme="minorEastAsia" w:cstheme="minorEastAsia"/>
                <w:color w:val="333333"/>
                <w:kern w:val="0"/>
                <w:szCs w:val="21"/>
                <w:lang w:bidi="ar"/>
              </w:rPr>
              <w:t>2.申请人逾期未按收费通知要求缴纳费用、行政机关不再处理其政府信息公开申请</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2"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2" w:type="pct"/>
            <w:vMerge w:val="continue"/>
            <w:tcBorders>
              <w:top w:val="outset" w:color="auto" w:sz="6" w:space="0"/>
              <w:left w:val="nil"/>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1679" w:type="pct"/>
            <w:tcBorders>
              <w:top w:val="nil"/>
              <w:left w:val="nil"/>
              <w:bottom w:val="single" w:color="auto" w:sz="8" w:space="0"/>
              <w:right w:val="single" w:color="auto" w:sz="8" w:space="0"/>
            </w:tcBorders>
            <w:shd w:val="clear" w:color="auto" w:fill="auto"/>
            <w:vAlign w:val="center"/>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lang w:bidi="ar"/>
              </w:rPr>
              <w:t>3.其他</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2"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2152" w:type="pct"/>
            <w:gridSpan w:val="2"/>
            <w:tcBorders>
              <w:top w:val="nil"/>
              <w:left w:val="nil"/>
              <w:bottom w:val="single" w:color="auto" w:sz="8" w:space="0"/>
              <w:right w:val="single" w:color="auto" w:sz="8" w:space="0"/>
            </w:tcBorders>
            <w:shd w:val="clear" w:color="auto" w:fill="auto"/>
            <w:vAlign w:val="center"/>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lang w:bidi="ar"/>
              </w:rPr>
              <w:t>（七）总计</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2"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9" w:type="pct"/>
            <w:gridSpan w:val="3"/>
            <w:tcBorders>
              <w:top w:val="nil"/>
              <w:left w:val="single" w:color="auto" w:sz="8" w:space="0"/>
              <w:bottom w:val="single" w:color="auto" w:sz="8" w:space="0"/>
              <w:right w:val="single" w:color="auto" w:sz="8" w:space="0"/>
            </w:tcBorders>
            <w:shd w:val="clear" w:color="auto" w:fill="auto"/>
            <w:vAlign w:val="center"/>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lang w:bidi="ar"/>
              </w:rPr>
              <w:t>四、结转下年度继续办理</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2"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lang w:bidi="ar"/>
              </w:rPr>
              <w:t> </w:t>
            </w:r>
          </w:p>
        </w:tc>
        <w:tc>
          <w:tcPr>
            <w:tcW w:w="351" w:type="pct"/>
            <w:tcBorders>
              <w:top w:val="nil"/>
              <w:left w:val="nil"/>
              <w:bottom w:val="single" w:color="auto" w:sz="8" w:space="0"/>
              <w:right w:val="single" w:color="auto" w:sz="8" w:space="0"/>
            </w:tcBorders>
            <w:shd w:val="clear" w:color="auto" w:fill="auto"/>
          </w:tcPr>
          <w:p>
            <w:pPr>
              <w:jc w:val="center"/>
              <w:rPr>
                <w:rFonts w:hint="eastAsia" w:ascii="宋体" w:hAnsi="宋体" w:eastAsia="宋体" w:cs="宋体"/>
                <w:color w:val="333333"/>
                <w:szCs w:val="21"/>
                <w:lang w:val="en-US" w:eastAsia="zh-CN"/>
              </w:rPr>
            </w:pPr>
            <w:r>
              <w:rPr>
                <w:rFonts w:hint="eastAsia" w:ascii="宋体" w:hAnsi="宋体" w:eastAsia="宋体" w:cs="宋体"/>
                <w:color w:val="333333"/>
                <w:szCs w:val="21"/>
                <w:lang w:val="en-US" w:eastAsia="zh-CN"/>
              </w:rPr>
              <w:t>0</w:t>
            </w:r>
          </w:p>
        </w:tc>
      </w:tr>
    </w:tbl>
    <w:p>
      <w:pPr>
        <w:spacing w:line="640" w:lineRule="exact"/>
        <w:ind w:firstLine="640" w:firstLineChars="200"/>
        <w:rPr>
          <w:rFonts w:ascii="黑体" w:hAnsi="黑体" w:eastAsia="黑体"/>
          <w:sz w:val="32"/>
          <w:szCs w:val="32"/>
        </w:rPr>
      </w:pPr>
      <w:r>
        <w:rPr>
          <w:rFonts w:hint="eastAsia" w:ascii="黑体" w:hAnsi="黑体" w:eastAsia="黑体"/>
          <w:sz w:val="32"/>
          <w:szCs w:val="32"/>
        </w:rPr>
        <w:t>四、政府信息公开行政复议、行政诉讼情况</w:t>
      </w:r>
    </w:p>
    <w:p>
      <w:pPr>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2021年，我局没有发生针对本单位有关政府信息公开事务的行政复议和行政诉讼案。</w:t>
      </w:r>
    </w:p>
    <w:p>
      <w:pPr>
        <w:adjustRightInd w:val="0"/>
        <w:snapToGrid w:val="0"/>
        <w:spacing w:line="640" w:lineRule="exact"/>
        <w:jc w:val="center"/>
        <w:rPr>
          <w:rFonts w:ascii="方正小标宋简体" w:hAnsi="仿宋_GB2312" w:eastAsia="方正小标宋简体" w:cs="仿宋_GB2312"/>
          <w:sz w:val="36"/>
          <w:szCs w:val="36"/>
        </w:rPr>
      </w:pPr>
      <w:r>
        <w:rPr>
          <w:rFonts w:hint="eastAsia" w:ascii="方正小标宋简体" w:hAnsi="仿宋_GB2312" w:eastAsia="方正小标宋简体" w:cs="仿宋_GB2312"/>
          <w:sz w:val="36"/>
          <w:szCs w:val="36"/>
        </w:rPr>
        <w:t>行政复议和行政诉讼情况汇总表</w:t>
      </w:r>
    </w:p>
    <w:tbl>
      <w:tblPr>
        <w:tblStyle w:val="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5"/>
        <w:gridCol w:w="565"/>
        <w:gridCol w:w="565"/>
        <w:gridCol w:w="565"/>
        <w:gridCol w:w="574"/>
        <w:gridCol w:w="566"/>
        <w:gridCol w:w="566"/>
        <w:gridCol w:w="568"/>
        <w:gridCol w:w="568"/>
        <w:gridCol w:w="573"/>
        <w:gridCol w:w="568"/>
        <w:gridCol w:w="568"/>
        <w:gridCol w:w="568"/>
        <w:gridCol w:w="568"/>
        <w:gridCol w:w="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5"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rPr>
                <w:rFonts w:hint="eastAsia" w:ascii="仿宋_GB2312" w:eastAsia="仿宋_GB2312"/>
              </w:rPr>
            </w:pPr>
            <w:r>
              <w:rPr>
                <w:rFonts w:hint="eastAsia" w:ascii="仿宋_GB2312" w:hAnsi="宋体" w:eastAsia="仿宋_GB2312" w:cs="宋体"/>
                <w:color w:val="333333"/>
                <w:kern w:val="0"/>
                <w:sz w:val="20"/>
                <w:szCs w:val="20"/>
                <w:lang w:bidi="ar"/>
              </w:rPr>
              <w:t>行政复议</w:t>
            </w:r>
          </w:p>
        </w:tc>
        <w:tc>
          <w:tcPr>
            <w:tcW w:w="3334"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rPr>
                <w:rFonts w:hint="eastAsia" w:ascii="仿宋_GB2312" w:eastAsia="仿宋_GB2312"/>
              </w:rPr>
            </w:pPr>
            <w:r>
              <w:rPr>
                <w:rFonts w:hint="eastAsia" w:ascii="仿宋_GB2312" w:hAnsi="宋体" w:eastAsia="仿宋_GB2312" w:cs="宋体"/>
                <w:color w:val="333333"/>
                <w:kern w:val="0"/>
                <w:sz w:val="20"/>
                <w:szCs w:val="20"/>
                <w:lang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pPr>
            <w:r>
              <w:rPr>
                <w:rFonts w:hint="eastAsia" w:ascii="宋体" w:hAnsi="宋体" w:eastAsia="宋体" w:cs="宋体"/>
                <w:color w:val="333333"/>
                <w:kern w:val="0"/>
                <w:sz w:val="20"/>
                <w:szCs w:val="20"/>
                <w:lang w:bidi="ar"/>
              </w:rPr>
              <w:t>结果维持</w:t>
            </w:r>
          </w:p>
        </w:tc>
        <w:tc>
          <w:tcPr>
            <w:tcW w:w="332"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color w:val="333333"/>
                <w:kern w:val="0"/>
                <w:sz w:val="20"/>
                <w:szCs w:val="20"/>
                <w:lang w:bidi="ar"/>
              </w:rPr>
            </w:pPr>
            <w:r>
              <w:rPr>
                <w:rFonts w:hint="eastAsia" w:ascii="仿宋_GB2312" w:hAnsi="宋体" w:eastAsia="仿宋_GB2312" w:cs="宋体"/>
                <w:color w:val="333333"/>
                <w:kern w:val="0"/>
                <w:sz w:val="20"/>
                <w:szCs w:val="20"/>
                <w:lang w:bidi="ar"/>
              </w:rPr>
              <w:t>结果</w:t>
            </w:r>
          </w:p>
          <w:p>
            <w:pPr>
              <w:widowControl/>
              <w:spacing w:line="240" w:lineRule="exact"/>
              <w:jc w:val="center"/>
              <w:rPr>
                <w:rFonts w:hint="eastAsia" w:ascii="仿宋_GB2312" w:eastAsia="仿宋_GB2312"/>
              </w:rPr>
            </w:pPr>
            <w:r>
              <w:rPr>
                <w:rFonts w:hint="eastAsia" w:ascii="仿宋_GB2312" w:hAnsi="宋体" w:eastAsia="仿宋_GB2312" w:cs="宋体"/>
                <w:color w:val="333333"/>
                <w:kern w:val="0"/>
                <w:sz w:val="20"/>
                <w:szCs w:val="20"/>
                <w:lang w:bidi="ar"/>
              </w:rPr>
              <w:t>纠正</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color w:val="333333"/>
                <w:kern w:val="0"/>
                <w:sz w:val="20"/>
                <w:szCs w:val="20"/>
                <w:lang w:bidi="ar"/>
              </w:rPr>
            </w:pPr>
            <w:r>
              <w:rPr>
                <w:rFonts w:hint="eastAsia" w:ascii="仿宋_GB2312" w:hAnsi="宋体" w:eastAsia="仿宋_GB2312" w:cs="宋体"/>
                <w:color w:val="333333"/>
                <w:kern w:val="0"/>
                <w:sz w:val="20"/>
                <w:szCs w:val="20"/>
                <w:lang w:bidi="ar"/>
              </w:rPr>
              <w:t>其他</w:t>
            </w:r>
          </w:p>
          <w:p>
            <w:pPr>
              <w:widowControl/>
              <w:spacing w:line="240" w:lineRule="exact"/>
              <w:jc w:val="center"/>
              <w:rPr>
                <w:rFonts w:hint="eastAsia" w:ascii="仿宋_GB2312" w:eastAsia="仿宋_GB2312"/>
              </w:rPr>
            </w:pPr>
            <w:r>
              <w:rPr>
                <w:rFonts w:hint="eastAsia" w:ascii="仿宋_GB2312" w:hAnsi="宋体" w:eastAsia="仿宋_GB2312" w:cs="宋体"/>
                <w:color w:val="333333"/>
                <w:kern w:val="0"/>
                <w:sz w:val="20"/>
                <w:szCs w:val="20"/>
                <w:lang w:bidi="ar"/>
              </w:rPr>
              <w:t>结果</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color w:val="333333"/>
                <w:kern w:val="0"/>
                <w:sz w:val="20"/>
                <w:szCs w:val="20"/>
                <w:lang w:bidi="ar"/>
              </w:rPr>
            </w:pPr>
            <w:r>
              <w:rPr>
                <w:rFonts w:hint="eastAsia" w:ascii="仿宋_GB2312" w:hAnsi="宋体" w:eastAsia="仿宋_GB2312" w:cs="宋体"/>
                <w:color w:val="333333"/>
                <w:kern w:val="0"/>
                <w:sz w:val="20"/>
                <w:szCs w:val="20"/>
                <w:lang w:bidi="ar"/>
              </w:rPr>
              <w:t>尚未</w:t>
            </w:r>
          </w:p>
          <w:p>
            <w:pPr>
              <w:widowControl/>
              <w:spacing w:line="240" w:lineRule="exact"/>
              <w:jc w:val="center"/>
              <w:rPr>
                <w:rFonts w:hint="eastAsia" w:ascii="仿宋_GB2312" w:eastAsia="仿宋_GB2312"/>
              </w:rPr>
            </w:pPr>
            <w:r>
              <w:rPr>
                <w:rFonts w:hint="eastAsia" w:ascii="仿宋_GB2312" w:hAnsi="宋体" w:eastAsia="仿宋_GB2312" w:cs="宋体"/>
                <w:color w:val="333333"/>
                <w:kern w:val="0"/>
                <w:sz w:val="20"/>
                <w:szCs w:val="20"/>
                <w:lang w:bidi="ar"/>
              </w:rPr>
              <w:t>审结</w:t>
            </w:r>
          </w:p>
        </w:tc>
        <w:tc>
          <w:tcPr>
            <w:tcW w:w="33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eastAsia="仿宋_GB2312"/>
              </w:rPr>
            </w:pPr>
            <w:r>
              <w:rPr>
                <w:rFonts w:hint="eastAsia" w:ascii="仿宋_GB2312" w:hAnsi="宋体" w:eastAsia="仿宋_GB2312" w:cs="宋体"/>
                <w:color w:val="333333"/>
                <w:kern w:val="0"/>
                <w:sz w:val="20"/>
                <w:szCs w:val="20"/>
                <w:lang w:bidi="ar"/>
              </w:rPr>
              <w:t>总计</w:t>
            </w:r>
          </w:p>
        </w:tc>
        <w:tc>
          <w:tcPr>
            <w:tcW w:w="166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eastAsia="仿宋_GB2312"/>
              </w:rPr>
            </w:pPr>
            <w:r>
              <w:rPr>
                <w:rFonts w:hint="eastAsia" w:ascii="仿宋_GB2312" w:hAnsi="宋体" w:eastAsia="仿宋_GB2312" w:cs="宋体"/>
                <w:color w:val="333333"/>
                <w:kern w:val="0"/>
                <w:sz w:val="20"/>
                <w:szCs w:val="20"/>
                <w:lang w:bidi="ar"/>
              </w:rPr>
              <w:t>未经复议直接起诉</w:t>
            </w:r>
          </w:p>
        </w:tc>
        <w:tc>
          <w:tcPr>
            <w:tcW w:w="1668"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eastAsia="仿宋_GB2312"/>
              </w:rPr>
            </w:pPr>
            <w:r>
              <w:rPr>
                <w:rFonts w:hint="eastAsia" w:ascii="仿宋_GB2312" w:hAnsi="宋体" w:eastAsia="仿宋_GB2312" w:cs="宋体"/>
                <w:color w:val="333333"/>
                <w:kern w:val="0"/>
                <w:sz w:val="20"/>
                <w:szCs w:val="20"/>
                <w:lang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tcBorders>
              <w:top w:val="nil"/>
              <w:left w:val="single" w:color="auto" w:sz="4" w:space="0"/>
              <w:bottom w:val="single" w:color="auto" w:sz="4" w:space="0"/>
              <w:right w:val="single" w:color="auto" w:sz="4" w:space="0"/>
            </w:tcBorders>
            <w:shd w:val="clear" w:color="auto" w:fill="auto"/>
            <w:vAlign w:val="center"/>
          </w:tcPr>
          <w:p>
            <w:pPr>
              <w:spacing w:line="240" w:lineRule="exact"/>
              <w:jc w:val="left"/>
              <w:rPr>
                <w:rFonts w:ascii="宋体" w:hAnsi="宋体" w:eastAsia="宋体" w:cs="宋体"/>
                <w:color w:val="333333"/>
                <w:szCs w:val="21"/>
              </w:rPr>
            </w:pPr>
          </w:p>
        </w:tc>
        <w:tc>
          <w:tcPr>
            <w:tcW w:w="332" w:type="pct"/>
            <w:vMerge w:val="continue"/>
            <w:tcBorders>
              <w:top w:val="nil"/>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ascii="仿宋_GB2312" w:hAnsi="宋体" w:eastAsia="仿宋_GB2312" w:cs="宋体"/>
                <w:color w:val="333333"/>
                <w:szCs w:val="21"/>
              </w:rPr>
            </w:pPr>
          </w:p>
        </w:tc>
        <w:tc>
          <w:tcPr>
            <w:tcW w:w="3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ascii="仿宋_GB2312" w:hAnsi="宋体" w:eastAsia="仿宋_GB2312" w:cs="宋体"/>
                <w:color w:val="333333"/>
                <w:szCs w:val="21"/>
              </w:rPr>
            </w:pPr>
          </w:p>
        </w:tc>
        <w:tc>
          <w:tcPr>
            <w:tcW w:w="3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ascii="仿宋_GB2312" w:hAnsi="宋体" w:eastAsia="仿宋_GB2312" w:cs="宋体"/>
                <w:color w:val="333333"/>
                <w:szCs w:val="21"/>
              </w:rPr>
            </w:pPr>
          </w:p>
        </w:tc>
        <w:tc>
          <w:tcPr>
            <w:tcW w:w="33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ascii="仿宋_GB2312" w:hAnsi="宋体" w:eastAsia="仿宋_GB2312" w:cs="宋体"/>
                <w:color w:val="333333"/>
                <w:szCs w:val="21"/>
              </w:rPr>
            </w:pP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color w:val="333333"/>
                <w:kern w:val="0"/>
                <w:sz w:val="20"/>
                <w:szCs w:val="20"/>
                <w:lang w:bidi="ar"/>
              </w:rPr>
            </w:pPr>
            <w:r>
              <w:rPr>
                <w:rFonts w:hint="eastAsia" w:ascii="仿宋_GB2312" w:hAnsi="宋体" w:eastAsia="仿宋_GB2312" w:cs="宋体"/>
                <w:color w:val="333333"/>
                <w:kern w:val="0"/>
                <w:sz w:val="20"/>
                <w:szCs w:val="20"/>
                <w:lang w:bidi="ar"/>
              </w:rPr>
              <w:t>结果</w:t>
            </w:r>
          </w:p>
          <w:p>
            <w:pPr>
              <w:widowControl/>
              <w:spacing w:line="240" w:lineRule="exact"/>
              <w:jc w:val="center"/>
              <w:rPr>
                <w:rFonts w:hint="eastAsia" w:ascii="仿宋_GB2312" w:eastAsia="仿宋_GB2312"/>
              </w:rPr>
            </w:pPr>
            <w:r>
              <w:rPr>
                <w:rFonts w:hint="eastAsia" w:ascii="仿宋_GB2312" w:hAnsi="宋体" w:eastAsia="仿宋_GB2312" w:cs="宋体"/>
                <w:color w:val="333333"/>
                <w:kern w:val="0"/>
                <w:sz w:val="20"/>
                <w:szCs w:val="20"/>
                <w:lang w:bidi="ar"/>
              </w:rPr>
              <w:t>维持</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color w:val="333333"/>
                <w:kern w:val="0"/>
                <w:sz w:val="20"/>
                <w:szCs w:val="20"/>
                <w:lang w:bidi="ar"/>
              </w:rPr>
            </w:pPr>
            <w:r>
              <w:rPr>
                <w:rFonts w:hint="eastAsia" w:ascii="仿宋_GB2312" w:hAnsi="宋体" w:eastAsia="仿宋_GB2312" w:cs="宋体"/>
                <w:color w:val="333333"/>
                <w:kern w:val="0"/>
                <w:sz w:val="20"/>
                <w:szCs w:val="20"/>
                <w:lang w:bidi="ar"/>
              </w:rPr>
              <w:t>结果</w:t>
            </w:r>
          </w:p>
          <w:p>
            <w:pPr>
              <w:widowControl/>
              <w:spacing w:line="240" w:lineRule="exact"/>
              <w:jc w:val="center"/>
              <w:rPr>
                <w:rFonts w:hint="eastAsia" w:ascii="仿宋_GB2312" w:eastAsia="仿宋_GB2312"/>
              </w:rPr>
            </w:pPr>
            <w:r>
              <w:rPr>
                <w:rFonts w:hint="eastAsia" w:ascii="仿宋_GB2312" w:hAnsi="宋体" w:eastAsia="仿宋_GB2312" w:cs="宋体"/>
                <w:color w:val="333333"/>
                <w:kern w:val="0"/>
                <w:sz w:val="20"/>
                <w:szCs w:val="20"/>
                <w:lang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color w:val="333333"/>
                <w:kern w:val="0"/>
                <w:sz w:val="20"/>
                <w:szCs w:val="20"/>
                <w:lang w:bidi="ar"/>
              </w:rPr>
            </w:pPr>
            <w:r>
              <w:rPr>
                <w:rFonts w:hint="eastAsia" w:ascii="仿宋_GB2312" w:hAnsi="宋体" w:eastAsia="仿宋_GB2312" w:cs="宋体"/>
                <w:color w:val="333333"/>
                <w:kern w:val="0"/>
                <w:sz w:val="20"/>
                <w:szCs w:val="20"/>
                <w:lang w:bidi="ar"/>
              </w:rPr>
              <w:t>其他</w:t>
            </w:r>
          </w:p>
          <w:p>
            <w:pPr>
              <w:widowControl/>
              <w:spacing w:line="240" w:lineRule="exact"/>
              <w:jc w:val="center"/>
              <w:rPr>
                <w:rFonts w:hint="eastAsia" w:ascii="仿宋_GB2312" w:eastAsia="仿宋_GB2312"/>
              </w:rPr>
            </w:pPr>
            <w:r>
              <w:rPr>
                <w:rFonts w:hint="eastAsia" w:ascii="仿宋_GB2312" w:hAnsi="宋体" w:eastAsia="仿宋_GB2312" w:cs="宋体"/>
                <w:color w:val="333333"/>
                <w:kern w:val="0"/>
                <w:sz w:val="20"/>
                <w:szCs w:val="20"/>
                <w:lang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color w:val="333333"/>
                <w:kern w:val="0"/>
                <w:sz w:val="20"/>
                <w:szCs w:val="20"/>
                <w:lang w:bidi="ar"/>
              </w:rPr>
            </w:pPr>
            <w:r>
              <w:rPr>
                <w:rFonts w:hint="eastAsia" w:ascii="仿宋_GB2312" w:hAnsi="宋体" w:eastAsia="仿宋_GB2312" w:cs="宋体"/>
                <w:color w:val="333333"/>
                <w:kern w:val="0"/>
                <w:sz w:val="20"/>
                <w:szCs w:val="20"/>
                <w:lang w:bidi="ar"/>
              </w:rPr>
              <w:t>尚未</w:t>
            </w:r>
          </w:p>
          <w:p>
            <w:pPr>
              <w:widowControl/>
              <w:spacing w:line="240" w:lineRule="exact"/>
              <w:jc w:val="center"/>
              <w:rPr>
                <w:rFonts w:hint="eastAsia" w:ascii="仿宋_GB2312" w:eastAsia="仿宋_GB2312"/>
              </w:rPr>
            </w:pPr>
            <w:r>
              <w:rPr>
                <w:rFonts w:hint="eastAsia" w:ascii="仿宋_GB2312" w:hAnsi="宋体" w:eastAsia="仿宋_GB2312" w:cs="宋体"/>
                <w:color w:val="333333"/>
                <w:kern w:val="0"/>
                <w:sz w:val="20"/>
                <w:szCs w:val="20"/>
                <w:lang w:bidi="ar"/>
              </w:rPr>
              <w:t>审结</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eastAsia="仿宋_GB2312"/>
              </w:rPr>
            </w:pPr>
            <w:r>
              <w:rPr>
                <w:rFonts w:hint="eastAsia" w:ascii="仿宋_GB2312" w:hAnsi="宋体" w:eastAsia="仿宋_GB2312" w:cs="宋体"/>
                <w:color w:val="000000"/>
                <w:kern w:val="0"/>
                <w:sz w:val="20"/>
                <w:szCs w:val="20"/>
                <w:lang w:bidi="ar"/>
              </w:rPr>
              <w:t>总计</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color w:val="333333"/>
                <w:kern w:val="0"/>
                <w:sz w:val="20"/>
                <w:szCs w:val="20"/>
                <w:lang w:bidi="ar"/>
              </w:rPr>
            </w:pPr>
            <w:r>
              <w:rPr>
                <w:rFonts w:hint="eastAsia" w:ascii="仿宋_GB2312" w:hAnsi="宋体" w:eastAsia="仿宋_GB2312" w:cs="宋体"/>
                <w:color w:val="333333"/>
                <w:kern w:val="0"/>
                <w:sz w:val="20"/>
                <w:szCs w:val="20"/>
                <w:lang w:bidi="ar"/>
              </w:rPr>
              <w:t>结果</w:t>
            </w:r>
          </w:p>
          <w:p>
            <w:pPr>
              <w:widowControl/>
              <w:spacing w:line="240" w:lineRule="exact"/>
              <w:jc w:val="center"/>
              <w:rPr>
                <w:rFonts w:hint="eastAsia" w:ascii="仿宋_GB2312" w:eastAsia="仿宋_GB2312"/>
              </w:rPr>
            </w:pPr>
            <w:r>
              <w:rPr>
                <w:rFonts w:hint="eastAsia" w:ascii="仿宋_GB2312" w:hAnsi="宋体" w:eastAsia="仿宋_GB2312" w:cs="宋体"/>
                <w:color w:val="333333"/>
                <w:kern w:val="0"/>
                <w:sz w:val="20"/>
                <w:szCs w:val="20"/>
                <w:lang w:bidi="ar"/>
              </w:rPr>
              <w:t>维持</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color w:val="333333"/>
                <w:kern w:val="0"/>
                <w:sz w:val="20"/>
                <w:szCs w:val="20"/>
                <w:lang w:bidi="ar"/>
              </w:rPr>
            </w:pPr>
            <w:r>
              <w:rPr>
                <w:rFonts w:hint="eastAsia" w:ascii="仿宋_GB2312" w:hAnsi="宋体" w:eastAsia="仿宋_GB2312" w:cs="宋体"/>
                <w:color w:val="333333"/>
                <w:kern w:val="0"/>
                <w:sz w:val="20"/>
                <w:szCs w:val="20"/>
                <w:lang w:bidi="ar"/>
              </w:rPr>
              <w:t>结果</w:t>
            </w:r>
          </w:p>
          <w:p>
            <w:pPr>
              <w:widowControl/>
              <w:spacing w:line="240" w:lineRule="exact"/>
              <w:jc w:val="center"/>
              <w:rPr>
                <w:rFonts w:hint="eastAsia" w:ascii="仿宋_GB2312" w:eastAsia="仿宋_GB2312"/>
              </w:rPr>
            </w:pPr>
            <w:r>
              <w:rPr>
                <w:rFonts w:hint="eastAsia" w:ascii="仿宋_GB2312" w:hAnsi="宋体" w:eastAsia="仿宋_GB2312" w:cs="宋体"/>
                <w:color w:val="333333"/>
                <w:kern w:val="0"/>
                <w:sz w:val="20"/>
                <w:szCs w:val="20"/>
                <w:lang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color w:val="000000"/>
                <w:kern w:val="0"/>
                <w:sz w:val="20"/>
                <w:szCs w:val="20"/>
                <w:lang w:bidi="ar"/>
              </w:rPr>
            </w:pPr>
            <w:r>
              <w:rPr>
                <w:rFonts w:hint="eastAsia" w:ascii="仿宋_GB2312" w:hAnsi="宋体" w:eastAsia="仿宋_GB2312" w:cs="宋体"/>
                <w:color w:val="000000"/>
                <w:kern w:val="0"/>
                <w:sz w:val="20"/>
                <w:szCs w:val="20"/>
                <w:lang w:bidi="ar"/>
              </w:rPr>
              <w:t>其他</w:t>
            </w:r>
          </w:p>
          <w:p>
            <w:pPr>
              <w:widowControl/>
              <w:spacing w:line="240" w:lineRule="exact"/>
              <w:jc w:val="center"/>
              <w:rPr>
                <w:rFonts w:hint="eastAsia" w:ascii="仿宋_GB2312" w:eastAsia="仿宋_GB2312"/>
              </w:rPr>
            </w:pPr>
            <w:r>
              <w:rPr>
                <w:rFonts w:hint="eastAsia" w:ascii="仿宋_GB2312" w:hAnsi="宋体" w:eastAsia="仿宋_GB2312" w:cs="宋体"/>
                <w:color w:val="000000"/>
                <w:kern w:val="0"/>
                <w:sz w:val="20"/>
                <w:szCs w:val="20"/>
                <w:lang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color w:val="333333"/>
                <w:kern w:val="0"/>
                <w:sz w:val="20"/>
                <w:szCs w:val="20"/>
                <w:lang w:bidi="ar"/>
              </w:rPr>
            </w:pPr>
            <w:r>
              <w:rPr>
                <w:rFonts w:hint="eastAsia" w:ascii="仿宋_GB2312" w:hAnsi="宋体" w:eastAsia="仿宋_GB2312" w:cs="宋体"/>
                <w:color w:val="333333"/>
                <w:kern w:val="0"/>
                <w:sz w:val="20"/>
                <w:szCs w:val="20"/>
                <w:lang w:bidi="ar"/>
              </w:rPr>
              <w:t>尚未</w:t>
            </w:r>
          </w:p>
          <w:p>
            <w:pPr>
              <w:widowControl/>
              <w:spacing w:line="240" w:lineRule="exact"/>
              <w:jc w:val="center"/>
              <w:rPr>
                <w:rFonts w:hint="eastAsia" w:ascii="仿宋_GB2312" w:eastAsia="仿宋_GB2312"/>
              </w:rPr>
            </w:pPr>
            <w:r>
              <w:rPr>
                <w:rFonts w:hint="eastAsia" w:ascii="仿宋_GB2312" w:hAnsi="宋体" w:eastAsia="仿宋_GB2312" w:cs="宋体"/>
                <w:color w:val="333333"/>
                <w:kern w:val="0"/>
                <w:sz w:val="20"/>
                <w:szCs w:val="20"/>
                <w:lang w:bidi="ar"/>
              </w:rPr>
              <w:t>审结</w:t>
            </w:r>
          </w:p>
        </w:tc>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eastAsia="仿宋_GB2312"/>
              </w:rPr>
            </w:pPr>
            <w:r>
              <w:rPr>
                <w:rFonts w:hint="eastAsia" w:ascii="仿宋_GB2312" w:hAnsi="宋体" w:eastAsia="仿宋_GB2312" w:cs="宋体"/>
                <w:color w:val="000000"/>
                <w:kern w:val="0"/>
                <w:sz w:val="20"/>
                <w:szCs w:val="20"/>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pPr>
            <w:r>
              <w:rPr>
                <w:rFonts w:ascii="黑体" w:hAnsi="宋体" w:eastAsia="黑体" w:cs="黑体"/>
                <w:color w:val="333333"/>
                <w:sz w:val="20"/>
                <w:szCs w:val="20"/>
                <w:lang w:bidi="ar"/>
              </w:rPr>
              <w:t> </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rPr>
                <w:rFonts w:hint="eastAsia" w:ascii="仿宋_GB2312" w:eastAsia="仿宋_GB2312"/>
              </w:rPr>
            </w:pPr>
            <w:r>
              <w:rPr>
                <w:rFonts w:hint="eastAsia" w:ascii="仿宋_GB2312" w:hAnsi="宋体" w:eastAsia="仿宋_GB2312" w:cs="黑体"/>
                <w:color w:val="333333"/>
                <w:sz w:val="20"/>
                <w:szCs w:val="20"/>
                <w:lang w:bidi="ar"/>
              </w:rPr>
              <w:t> </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rPr>
                <w:rFonts w:hint="eastAsia" w:ascii="仿宋_GB2312" w:eastAsia="仿宋_GB2312"/>
              </w:rPr>
            </w:pPr>
            <w:r>
              <w:rPr>
                <w:rFonts w:hint="eastAsia" w:ascii="仿宋_GB2312" w:hAnsi="宋体" w:eastAsia="仿宋_GB2312" w:cs="黑体"/>
                <w:color w:val="333333"/>
                <w:sz w:val="20"/>
                <w:szCs w:val="20"/>
                <w:lang w:bidi="ar"/>
              </w:rPr>
              <w:t> </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rPr>
                <w:rFonts w:hint="eastAsia" w:ascii="仿宋_GB2312" w:eastAsia="仿宋_GB2312"/>
              </w:rPr>
            </w:pPr>
            <w:r>
              <w:rPr>
                <w:rFonts w:hint="eastAsia" w:ascii="仿宋_GB2312" w:hAnsi="宋体" w:eastAsia="仿宋_GB2312" w:cs="黑体"/>
                <w:color w:val="333333"/>
                <w:sz w:val="20"/>
                <w:szCs w:val="20"/>
                <w:lang w:bidi="ar"/>
              </w:rPr>
              <w:t> </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rPr>
                <w:rFonts w:hint="eastAsia" w:ascii="仿宋_GB2312" w:eastAsia="仿宋_GB2312"/>
              </w:rPr>
            </w:pPr>
            <w:r>
              <w:rPr>
                <w:rFonts w:hint="eastAsia" w:ascii="仿宋_GB2312" w:hAnsi="宋体" w:eastAsia="仿宋_GB2312" w:cs="黑体"/>
                <w:color w:val="333333"/>
                <w:sz w:val="20"/>
                <w:szCs w:val="20"/>
                <w:lang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rPr>
                <w:rFonts w:hint="eastAsia" w:ascii="仿宋_GB2312" w:eastAsia="仿宋_GB2312"/>
              </w:rPr>
            </w:pPr>
            <w:r>
              <w:rPr>
                <w:rFonts w:hint="eastAsia" w:ascii="仿宋_GB2312" w:hAnsi="宋体" w:eastAsia="仿宋_GB2312" w:cs="黑体"/>
                <w:color w:val="333333"/>
                <w:sz w:val="20"/>
                <w:szCs w:val="20"/>
                <w:lang w:bidi="ar"/>
              </w:rPr>
              <w:t> </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rPr>
                <w:rFonts w:hint="eastAsia" w:ascii="仿宋_GB2312" w:eastAsia="仿宋_GB2312"/>
              </w:rPr>
            </w:pPr>
            <w:r>
              <w:rPr>
                <w:rFonts w:hint="eastAsia" w:ascii="仿宋_GB2312" w:hAnsi="宋体" w:eastAsia="仿宋_GB2312" w:cs="黑体"/>
                <w:color w:val="333333"/>
                <w:sz w:val="20"/>
                <w:szCs w:val="20"/>
                <w:lang w:bidi="ar"/>
              </w:rPr>
              <w:t> </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rPr>
                <w:rFonts w:hint="eastAsia" w:ascii="仿宋_GB2312" w:eastAsia="仿宋_GB2312"/>
              </w:rPr>
            </w:pPr>
            <w:r>
              <w:rPr>
                <w:rFonts w:hint="eastAsia" w:ascii="仿宋_GB2312" w:hAnsi="宋体" w:eastAsia="仿宋_GB2312" w:cs="黑体"/>
                <w:color w:val="333333"/>
                <w:sz w:val="20"/>
                <w:szCs w:val="20"/>
                <w:lang w:bidi="ar"/>
              </w:rPr>
              <w:t> </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rPr>
                <w:rFonts w:hint="eastAsia" w:ascii="仿宋_GB2312" w:eastAsia="仿宋_GB2312"/>
              </w:rPr>
            </w:pPr>
            <w:r>
              <w:rPr>
                <w:rFonts w:hint="eastAsia" w:ascii="仿宋_GB2312" w:hAnsi="宋体" w:eastAsia="仿宋_GB2312" w:cs="黑体"/>
                <w:color w:val="333333"/>
                <w:sz w:val="20"/>
                <w:szCs w:val="20"/>
                <w:lang w:bidi="ar"/>
              </w:rPr>
              <w:t> </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rPr>
                <w:rFonts w:hint="eastAsia" w:ascii="仿宋_GB2312" w:eastAsia="仿宋_GB2312"/>
              </w:rPr>
            </w:pPr>
            <w:r>
              <w:rPr>
                <w:rFonts w:hint="eastAsia" w:ascii="仿宋_GB2312" w:hAnsi="宋体" w:eastAsia="仿宋_GB2312" w:cs="黑体"/>
                <w:color w:val="333333"/>
                <w:sz w:val="20"/>
                <w:szCs w:val="20"/>
                <w:lang w:bidi="ar"/>
              </w:rPr>
              <w:t> </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rPr>
                <w:rFonts w:hint="eastAsia" w:ascii="仿宋_GB2312" w:eastAsia="仿宋_GB2312"/>
              </w:rPr>
            </w:pPr>
            <w:r>
              <w:rPr>
                <w:rFonts w:hint="eastAsia" w:ascii="仿宋_GB2312" w:hAnsi="宋体" w:eastAsia="仿宋_GB2312" w:cs="黑体"/>
                <w:color w:val="333333"/>
                <w:sz w:val="20"/>
                <w:szCs w:val="20"/>
                <w:lang w:bidi="ar"/>
              </w:rPr>
              <w:t> </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rPr>
                <w:rFonts w:hint="eastAsia" w:ascii="仿宋_GB2312" w:eastAsia="仿宋_GB2312"/>
              </w:rPr>
            </w:pPr>
            <w:r>
              <w:rPr>
                <w:rFonts w:hint="eastAsia" w:ascii="仿宋_GB2312" w:hAnsi="宋体" w:eastAsia="仿宋_GB2312" w:cs="黑体"/>
                <w:color w:val="333333"/>
                <w:sz w:val="20"/>
                <w:szCs w:val="20"/>
                <w:lang w:bidi="ar"/>
              </w:rPr>
              <w:t> </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rPr>
                <w:rFonts w:hint="eastAsia" w:ascii="仿宋_GB2312" w:eastAsia="仿宋_GB2312"/>
              </w:rPr>
            </w:pPr>
            <w:r>
              <w:rPr>
                <w:rFonts w:hint="eastAsia" w:ascii="仿宋_GB2312" w:hAnsi="宋体" w:eastAsia="仿宋_GB2312" w:cs="黑体"/>
                <w:color w:val="333333"/>
                <w:sz w:val="20"/>
                <w:szCs w:val="20"/>
                <w:lang w:bidi="ar"/>
              </w:rPr>
              <w:t> </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rPr>
                <w:rFonts w:hint="eastAsia" w:ascii="仿宋_GB2312" w:eastAsia="仿宋_GB2312"/>
              </w:rPr>
            </w:pPr>
            <w:r>
              <w:rPr>
                <w:rFonts w:hint="eastAsia" w:ascii="仿宋_GB2312" w:hAnsi="宋体" w:eastAsia="仿宋_GB2312" w:cs="黑体"/>
                <w:color w:val="333333"/>
                <w:sz w:val="20"/>
                <w:szCs w:val="20"/>
                <w:lang w:bidi="ar"/>
              </w:rPr>
              <w:t> </w:t>
            </w:r>
          </w:p>
        </w:tc>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hint="eastAsia" w:ascii="仿宋_GB2312" w:hAnsi="宋体" w:eastAsia="仿宋_GB2312" w:cs="宋体"/>
                <w:color w:val="333333"/>
                <w:szCs w:val="21"/>
              </w:rPr>
            </w:pPr>
            <w:r>
              <w:rPr>
                <w:rFonts w:hint="eastAsia" w:ascii="仿宋_GB2312" w:hAnsi="宋体" w:eastAsia="仿宋_GB2312" w:cs="宋体"/>
                <w:color w:val="333333"/>
                <w:szCs w:val="21"/>
              </w:rPr>
              <w:t>0</w:t>
            </w:r>
          </w:p>
        </w:tc>
      </w:tr>
    </w:tbl>
    <w:p>
      <w:pPr>
        <w:spacing w:line="640" w:lineRule="exact"/>
        <w:ind w:firstLine="640" w:firstLineChars="200"/>
        <w:rPr>
          <w:rFonts w:ascii="黑体" w:hAnsi="黑体" w:eastAsia="黑体"/>
          <w:sz w:val="32"/>
          <w:szCs w:val="32"/>
        </w:rPr>
      </w:pPr>
      <w:r>
        <w:rPr>
          <w:rFonts w:hint="eastAsia" w:ascii="黑体" w:hAnsi="黑体" w:eastAsia="黑体"/>
          <w:sz w:val="32"/>
          <w:szCs w:val="32"/>
        </w:rPr>
        <w:t>五、政府信息公开工作存在的主要问题及改进情况</w:t>
      </w:r>
    </w:p>
    <w:p>
      <w:pPr>
        <w:spacing w:line="640" w:lineRule="exact"/>
        <w:ind w:firstLine="643" w:firstLineChars="200"/>
        <w:rPr>
          <w:rFonts w:ascii="仿宋" w:hAnsi="仿宋" w:eastAsia="仿宋"/>
          <w:b/>
          <w:sz w:val="32"/>
          <w:szCs w:val="32"/>
        </w:rPr>
      </w:pPr>
      <w:r>
        <w:rPr>
          <w:rFonts w:hint="eastAsia" w:ascii="仿宋" w:hAnsi="仿宋" w:eastAsia="仿宋"/>
          <w:b/>
          <w:sz w:val="32"/>
          <w:szCs w:val="32"/>
        </w:rPr>
        <w:t>（一）主要问题</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1、目前我局政府信息公开工作人手相对短缺、工作发展不平衡；</w:t>
      </w:r>
    </w:p>
    <w:p>
      <w:pPr>
        <w:spacing w:line="640" w:lineRule="exact"/>
        <w:ind w:firstLine="640" w:firstLineChars="200"/>
        <w:rPr>
          <w:rFonts w:ascii="仿宋" w:hAnsi="仿宋" w:eastAsia="仿宋" w:cs="仿宋"/>
          <w:color w:val="333333"/>
          <w:sz w:val="32"/>
          <w:szCs w:val="32"/>
          <w:shd w:val="clear" w:color="auto" w:fill="FFFFFF"/>
        </w:rPr>
      </w:pPr>
      <w:r>
        <w:rPr>
          <w:rFonts w:hint="eastAsia" w:ascii="仿宋" w:hAnsi="仿宋" w:eastAsia="仿宋"/>
          <w:sz w:val="32"/>
          <w:szCs w:val="32"/>
        </w:rPr>
        <w:t>2、</w:t>
      </w:r>
      <w:r>
        <w:rPr>
          <w:rFonts w:ascii="仿宋" w:hAnsi="仿宋" w:eastAsia="仿宋" w:cs="仿宋"/>
          <w:color w:val="000000" w:themeColor="text1"/>
          <w:sz w:val="32"/>
          <w:szCs w:val="32"/>
          <w:shd w:val="clear" w:color="auto" w:fill="FFFFFF"/>
          <w14:textFill>
            <w14:solidFill>
              <w14:schemeClr w14:val="tx1"/>
            </w14:solidFill>
          </w14:textFill>
        </w:rPr>
        <w:t>政务公开内容仍需进一步优化</w:t>
      </w:r>
      <w:r>
        <w:rPr>
          <w:rFonts w:hint="eastAsia" w:ascii="仿宋" w:hAnsi="仿宋" w:eastAsia="仿宋"/>
          <w:sz w:val="32"/>
          <w:szCs w:val="32"/>
        </w:rPr>
        <w:t>；</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3、各科室公开意识有待进一步加强 。</w:t>
      </w:r>
    </w:p>
    <w:p>
      <w:pPr>
        <w:spacing w:line="640" w:lineRule="exact"/>
        <w:ind w:firstLine="643" w:firstLineChars="200"/>
        <w:rPr>
          <w:rFonts w:ascii="仿宋" w:hAnsi="仿宋" w:eastAsia="仿宋"/>
          <w:b/>
          <w:sz w:val="32"/>
          <w:szCs w:val="32"/>
        </w:rPr>
      </w:pPr>
      <w:r>
        <w:rPr>
          <w:rFonts w:hint="eastAsia" w:ascii="仿宋" w:hAnsi="仿宋" w:eastAsia="仿宋"/>
          <w:b/>
          <w:sz w:val="32"/>
          <w:szCs w:val="32"/>
        </w:rPr>
        <w:t>（二）改进措施</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1、加强宣传、引导和培训工作；</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2、结合本单位实际、结合信息公开的内容要求，积极创造条件，切实提高信息公开实效，</w:t>
      </w:r>
      <w:r>
        <w:rPr>
          <w:rFonts w:ascii="仿宋" w:hAnsi="仿宋" w:eastAsia="仿宋" w:cs="仿宋"/>
          <w:color w:val="000000" w:themeColor="text1"/>
          <w:sz w:val="32"/>
          <w:szCs w:val="32"/>
          <w:shd w:val="clear" w:color="auto" w:fill="FFFFFF"/>
          <w14:textFill>
            <w14:solidFill>
              <w14:schemeClr w14:val="tx1"/>
            </w14:solidFill>
          </w14:textFill>
        </w:rPr>
        <w:t>不断增加主动公开内容</w:t>
      </w:r>
      <w:r>
        <w:rPr>
          <w:rFonts w:hint="eastAsia" w:ascii="仿宋" w:hAnsi="仿宋" w:eastAsia="仿宋"/>
          <w:sz w:val="32"/>
          <w:szCs w:val="32"/>
        </w:rPr>
        <w:t>；</w:t>
      </w:r>
    </w:p>
    <w:p>
      <w:pPr>
        <w:spacing w:line="640" w:lineRule="exact"/>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3、下一步</w:t>
      </w:r>
      <w:r>
        <w:rPr>
          <w:rFonts w:hint="eastAsia" w:ascii="仿宋" w:hAnsi="仿宋" w:eastAsia="仿宋" w:cs="仿宋"/>
          <w:color w:val="000000" w:themeColor="text1"/>
          <w:sz w:val="32"/>
          <w:szCs w:val="32"/>
          <w:shd w:val="clear" w:color="auto" w:fill="FFFFFF"/>
          <w14:textFill>
            <w14:solidFill>
              <w14:schemeClr w14:val="tx1"/>
            </w14:solidFill>
          </w14:textFill>
        </w:rPr>
        <w:t>将政务信息公开工作做到及时落实、及时更新，保证公开工作质量。</w:t>
      </w:r>
    </w:p>
    <w:p>
      <w:pPr>
        <w:pStyle w:val="4"/>
        <w:widowControl/>
        <w:numPr>
          <w:ilvl w:val="0"/>
          <w:numId w:val="1"/>
        </w:numPr>
        <w:spacing w:line="360" w:lineRule="auto"/>
        <w:ind w:firstLine="640" w:firstLineChars="200"/>
        <w:jc w:val="both"/>
        <w:rPr>
          <w:rFonts w:ascii="黑体" w:hAnsi="黑体" w:eastAsia="黑体" w:cs="黑体"/>
          <w:color w:val="333333"/>
          <w:sz w:val="32"/>
          <w:szCs w:val="32"/>
        </w:rPr>
      </w:pPr>
      <w:r>
        <w:rPr>
          <w:rFonts w:hint="eastAsia" w:ascii="黑体" w:hAnsi="黑体" w:eastAsia="黑体" w:cs="黑体"/>
          <w:color w:val="333333"/>
          <w:sz w:val="32"/>
          <w:szCs w:val="32"/>
        </w:rPr>
        <w:t>其他需要报告的事项</w:t>
      </w:r>
    </w:p>
    <w:p>
      <w:pPr>
        <w:pStyle w:val="4"/>
        <w:widowControl/>
        <w:spacing w:line="360" w:lineRule="auto"/>
        <w:ind w:left="420" w:leftChars="200"/>
        <w:jc w:val="both"/>
        <w:rPr>
          <w:rFonts w:ascii="黑体" w:hAnsi="黑体" w:eastAsia="黑体" w:cs="黑体"/>
          <w:color w:val="333333"/>
          <w:sz w:val="32"/>
          <w:szCs w:val="32"/>
        </w:rPr>
      </w:pPr>
      <w:r>
        <w:rPr>
          <w:rFonts w:hint="eastAsia" w:ascii="黑体" w:hAnsi="黑体" w:eastAsia="黑体" w:cs="黑体"/>
          <w:color w:val="333333"/>
          <w:sz w:val="32"/>
          <w:szCs w:val="32"/>
        </w:rPr>
        <w:t xml:space="preserve">   </w:t>
      </w:r>
      <w:r>
        <w:rPr>
          <w:rFonts w:hint="eastAsia" w:ascii="仿宋" w:hAnsi="仿宋" w:eastAsia="仿宋" w:cs="仿宋"/>
          <w:color w:val="333333"/>
          <w:sz w:val="32"/>
          <w:szCs w:val="32"/>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AC1763"/>
    <w:multiLevelType w:val="singleLevel"/>
    <w:tmpl w:val="1BAC1763"/>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jNDI3ZWY3NzYwOGMxNzU0OGIyMzRmNmZiZjU4NTMifQ=="/>
  </w:docVars>
  <w:rsids>
    <w:rsidRoot w:val="000F32AE"/>
    <w:rsid w:val="000E127F"/>
    <w:rsid w:val="000F32AE"/>
    <w:rsid w:val="001B23C2"/>
    <w:rsid w:val="001D6379"/>
    <w:rsid w:val="00296559"/>
    <w:rsid w:val="00374465"/>
    <w:rsid w:val="003B50C5"/>
    <w:rsid w:val="005166ED"/>
    <w:rsid w:val="0067666C"/>
    <w:rsid w:val="006F110C"/>
    <w:rsid w:val="00731A9F"/>
    <w:rsid w:val="007A18ED"/>
    <w:rsid w:val="009432A2"/>
    <w:rsid w:val="00951FC5"/>
    <w:rsid w:val="00994726"/>
    <w:rsid w:val="00BB29AE"/>
    <w:rsid w:val="00C059E9"/>
    <w:rsid w:val="00C77A6C"/>
    <w:rsid w:val="00C91264"/>
    <w:rsid w:val="00CB65F0"/>
    <w:rsid w:val="00D10DE6"/>
    <w:rsid w:val="00DA4D46"/>
    <w:rsid w:val="00ED53BB"/>
    <w:rsid w:val="049A7BD3"/>
    <w:rsid w:val="07101279"/>
    <w:rsid w:val="091E4602"/>
    <w:rsid w:val="0AC0235E"/>
    <w:rsid w:val="0C5706B3"/>
    <w:rsid w:val="0D494770"/>
    <w:rsid w:val="0E796F1B"/>
    <w:rsid w:val="0F104E87"/>
    <w:rsid w:val="14E25BA8"/>
    <w:rsid w:val="16F94341"/>
    <w:rsid w:val="17556A82"/>
    <w:rsid w:val="178443AC"/>
    <w:rsid w:val="17D468B6"/>
    <w:rsid w:val="18C326EE"/>
    <w:rsid w:val="19397AEA"/>
    <w:rsid w:val="19D62AF8"/>
    <w:rsid w:val="1CFD55EE"/>
    <w:rsid w:val="1D175E0D"/>
    <w:rsid w:val="1FCB06B9"/>
    <w:rsid w:val="20832AA5"/>
    <w:rsid w:val="21DD237E"/>
    <w:rsid w:val="226A326B"/>
    <w:rsid w:val="23356FED"/>
    <w:rsid w:val="2705669B"/>
    <w:rsid w:val="29491A44"/>
    <w:rsid w:val="2AD64A79"/>
    <w:rsid w:val="2DEB1689"/>
    <w:rsid w:val="2E037952"/>
    <w:rsid w:val="2E1805A9"/>
    <w:rsid w:val="2EC26DDC"/>
    <w:rsid w:val="2EF90FDB"/>
    <w:rsid w:val="306714B5"/>
    <w:rsid w:val="324A0C7A"/>
    <w:rsid w:val="3A6C61C1"/>
    <w:rsid w:val="3AA445C1"/>
    <w:rsid w:val="3B061A9A"/>
    <w:rsid w:val="3B1929E7"/>
    <w:rsid w:val="3BB1646E"/>
    <w:rsid w:val="3C541977"/>
    <w:rsid w:val="3DF41D50"/>
    <w:rsid w:val="3E10188C"/>
    <w:rsid w:val="3EFC2C5D"/>
    <w:rsid w:val="3FC4377B"/>
    <w:rsid w:val="409C1A2E"/>
    <w:rsid w:val="409E3FCC"/>
    <w:rsid w:val="44EA5BE0"/>
    <w:rsid w:val="45534593"/>
    <w:rsid w:val="469043B7"/>
    <w:rsid w:val="472C4860"/>
    <w:rsid w:val="47C66B72"/>
    <w:rsid w:val="48243C73"/>
    <w:rsid w:val="49D32FC3"/>
    <w:rsid w:val="4A4771AD"/>
    <w:rsid w:val="4A816EE7"/>
    <w:rsid w:val="4CAC623C"/>
    <w:rsid w:val="4ED84EC6"/>
    <w:rsid w:val="515C6AAC"/>
    <w:rsid w:val="515D4E4B"/>
    <w:rsid w:val="522166DA"/>
    <w:rsid w:val="52452264"/>
    <w:rsid w:val="56F430E3"/>
    <w:rsid w:val="581C49B2"/>
    <w:rsid w:val="594B2B48"/>
    <w:rsid w:val="59B3115D"/>
    <w:rsid w:val="5A2E5388"/>
    <w:rsid w:val="5CB37C8F"/>
    <w:rsid w:val="5D005D16"/>
    <w:rsid w:val="5F803A4B"/>
    <w:rsid w:val="61273712"/>
    <w:rsid w:val="629E3A28"/>
    <w:rsid w:val="631D301E"/>
    <w:rsid w:val="649C61C5"/>
    <w:rsid w:val="663377AF"/>
    <w:rsid w:val="665D36D9"/>
    <w:rsid w:val="671A6C21"/>
    <w:rsid w:val="67B531E1"/>
    <w:rsid w:val="698711F2"/>
    <w:rsid w:val="6A3B1EBF"/>
    <w:rsid w:val="6B234208"/>
    <w:rsid w:val="6C18113B"/>
    <w:rsid w:val="6DBD6852"/>
    <w:rsid w:val="6E5E5909"/>
    <w:rsid w:val="6ED91348"/>
    <w:rsid w:val="6F5320C2"/>
    <w:rsid w:val="713E2E09"/>
    <w:rsid w:val="71935EFB"/>
    <w:rsid w:val="72294970"/>
    <w:rsid w:val="723604ED"/>
    <w:rsid w:val="770C683A"/>
    <w:rsid w:val="776820BF"/>
    <w:rsid w:val="78F81734"/>
    <w:rsid w:val="7A7A118C"/>
    <w:rsid w:val="7B2E23AB"/>
    <w:rsid w:val="7B6B7D52"/>
    <w:rsid w:val="7D492B15"/>
    <w:rsid w:val="7EA45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jc w:val="left"/>
    </w:pPr>
    <w:rPr>
      <w:rFonts w:cs="Times New Roman"/>
      <w:kern w:val="0"/>
      <w:sz w:val="24"/>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89C60-D0B7-41C4-BB16-995A17AAAF8E}">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2877</Words>
  <Characters>2992</Characters>
  <Lines>25</Lines>
  <Paragraphs>7</Paragraphs>
  <TotalTime>11</TotalTime>
  <ScaleCrop>false</ScaleCrop>
  <LinksUpToDate>false</LinksUpToDate>
  <CharactersWithSpaces>3160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2020-01-14T03:25:00Z</dcterms:created>
  <dc:creator>lenovo</dc:creator>
  <cp:lastModifiedBy>lenovo</cp:lastModifiedBy>
  <cp:lastPrinted>2021-01-19T03:01:00Z</cp:lastPrinted>
  <dcterms:modified xsi:type="dcterms:W3CDTF">2022-10-24T08:26:42Z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298FF751AB8D471DAE9BD8C0B89864F3</vt:lpwstr>
  </property>
</Properties>
</file>