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946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新洲区汪集街道关于2024年度法治政府建设情况的报告</w:t>
      </w:r>
    </w:p>
    <w:p w14:paraId="20A2F1A4">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p>
    <w:p w14:paraId="6AE199A3">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2024年，在区委、区政府的领导下，汪集街道以习近平新时代中国特色社会主义思想为指导，深入学习贯彻习近平法治思想，紧紧围绕中心工作目标，狠抓工作落实。现将2024年度法治政府</w:t>
      </w:r>
      <w:r>
        <w:rPr>
          <w:rFonts w:hint="eastAsia" w:ascii="仿宋" w:hAnsi="仿宋" w:eastAsia="仿宋" w:cs="仿宋"/>
          <w:w w:val="100"/>
          <w:sz w:val="32"/>
          <w:szCs w:val="32"/>
          <w:lang w:val="en-US" w:eastAsia="zh-CN"/>
        </w:rPr>
        <w:t>建设推进情况</w:t>
      </w:r>
      <w:r>
        <w:rPr>
          <w:rFonts w:hint="eastAsia" w:ascii="仿宋" w:hAnsi="仿宋" w:eastAsia="仿宋" w:cs="仿宋"/>
          <w:b w:val="0"/>
          <w:bCs w:val="0"/>
          <w:sz w:val="32"/>
          <w:szCs w:val="32"/>
          <w:lang w:val="en-US" w:eastAsia="zh-CN"/>
        </w:rPr>
        <w:t>及2025年度推进法治政府建设的主要安排报告如下：</w:t>
      </w:r>
    </w:p>
    <w:p w14:paraId="49EB7AAC">
      <w:pPr>
        <w:keepNext w:val="0"/>
        <w:keepLines w:val="0"/>
        <w:pageBreakBefore w:val="0"/>
        <w:widowControl w:val="0"/>
        <w:numPr>
          <w:ilvl w:val="0"/>
          <w:numId w:val="1"/>
        </w:numPr>
        <w:kinsoku/>
        <w:wordWrap/>
        <w:overflowPunct/>
        <w:topLinePunct w:val="0"/>
        <w:autoSpaceDE/>
        <w:bidi w:val="0"/>
        <w:adjustRightInd/>
        <w:snapToGrid/>
        <w:spacing w:line="560" w:lineRule="exact"/>
        <w:ind w:left="640" w:leftChars="0" w:firstLine="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2024年度法治政府建设推进情况</w:t>
      </w:r>
    </w:p>
    <w:p w14:paraId="0E070D4F">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提高政治站位，增强</w:t>
      </w:r>
      <w:r>
        <w:rPr>
          <w:rFonts w:hint="eastAsia" w:ascii="楷体" w:hAnsi="楷体" w:eastAsia="楷体" w:cs="楷体"/>
          <w:sz w:val="32"/>
          <w:szCs w:val="32"/>
          <w:lang w:val="en-US" w:eastAsia="zh-CN"/>
        </w:rPr>
        <w:t>法治素养。</w:t>
      </w:r>
      <w:r>
        <w:rPr>
          <w:rFonts w:hint="eastAsia" w:ascii="仿宋" w:hAnsi="仿宋" w:eastAsia="仿宋" w:cs="仿宋"/>
          <w:sz w:val="32"/>
          <w:szCs w:val="32"/>
          <w:lang w:val="en-US" w:eastAsia="zh-CN"/>
        </w:rPr>
        <w:t>高度重视法治理论学习，将习近平法治思想系列书籍列入党工委理论学习中心组和各级干部教育培训必学内容，实现全系统全覆盖学习培训。街党工委班子成员</w:t>
      </w:r>
      <w:r>
        <w:rPr>
          <w:rFonts w:hint="eastAsia" w:ascii="仿宋" w:hAnsi="仿宋" w:eastAsia="仿宋" w:cs="仿宋"/>
          <w:sz w:val="32"/>
          <w:szCs w:val="32"/>
        </w:rPr>
        <w:t>认真学习宪法、习近平法治思想、党的二十大关于法治建设的部署要求，带着问题学习、原原本本学、逐条逐章看。年内开展专题学法</w:t>
      </w:r>
      <w:r>
        <w:rPr>
          <w:rFonts w:hint="eastAsia" w:ascii="仿宋" w:hAnsi="仿宋" w:eastAsia="仿宋" w:cs="仿宋"/>
          <w:sz w:val="32"/>
          <w:szCs w:val="32"/>
          <w:lang w:val="en-US" w:eastAsia="zh-CN"/>
        </w:rPr>
        <w:t>4</w:t>
      </w:r>
      <w:r>
        <w:rPr>
          <w:rFonts w:hint="eastAsia" w:ascii="仿宋" w:hAnsi="仿宋" w:eastAsia="仿宋" w:cs="仿宋"/>
          <w:sz w:val="32"/>
          <w:szCs w:val="32"/>
        </w:rPr>
        <w:t>次，及时研究解决法治政府建设工作中的困难和问题。</w:t>
      </w:r>
    </w:p>
    <w:p w14:paraId="53CC9BFC">
      <w:pPr>
        <w:shd w:val="clear"/>
        <w:kinsoku/>
        <w:autoSpaceDE/>
        <w:autoSpaceDN w:val="0"/>
        <w:spacing w:line="432" w:lineRule="auto"/>
        <w:ind w:firstLine="640" w:firstLineChars="200"/>
        <w:jc w:val="both"/>
        <w:rPr>
          <w:rFonts w:hint="eastAsia" w:ascii="仿宋" w:hAnsi="仿宋" w:eastAsia="仿宋" w:cs="仿宋"/>
          <w:b w:val="0"/>
          <w:bCs w:val="0"/>
          <w:color w:val="auto"/>
          <w:sz w:val="32"/>
          <w:szCs w:val="32"/>
          <w:shd w:val="clear" w:fill="FFFFFF" w:themeFill="background1"/>
          <w:lang w:val="en-US" w:eastAsia="zh-CN"/>
        </w:rPr>
      </w:pPr>
      <w:r>
        <w:rPr>
          <w:rFonts w:hint="eastAsia" w:ascii="楷体" w:hAnsi="楷体" w:eastAsia="楷体" w:cs="楷体"/>
          <w:sz w:val="32"/>
          <w:szCs w:val="32"/>
          <w:lang w:val="en-US" w:eastAsia="zh-CN"/>
        </w:rPr>
        <w:t>（二）加强组织领导</w:t>
      </w: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压实法治工作责任。</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高度重视法治建设。始终把法治建设作为中心工作，第一</w:t>
      </w:r>
      <w:r>
        <w:rPr>
          <w:rFonts w:hint="eastAsia" w:ascii="仿宋" w:hAnsi="仿宋" w:eastAsia="仿宋" w:cs="仿宋"/>
          <w:sz w:val="32"/>
          <w:szCs w:val="32"/>
          <w:lang w:val="en-US" w:eastAsia="zh-CN"/>
        </w:rPr>
        <w:t>时间传达上级会议精神、听取工作汇报，亲自决策部署、督办落实。</w:t>
      </w:r>
      <w:r>
        <w:rPr>
          <w:rFonts w:hint="eastAsia" w:ascii="仿宋" w:hAnsi="仿宋" w:eastAsia="仿宋" w:cs="仿宋"/>
          <w:b/>
          <w:bCs/>
          <w:color w:val="auto"/>
          <w:sz w:val="32"/>
          <w:szCs w:val="32"/>
          <w:shd w:val="clear" w:fill="FFFFFF" w:themeFill="background1"/>
          <w:lang w:val="en-US" w:eastAsia="zh-CN"/>
        </w:rPr>
        <w:t>二是</w:t>
      </w:r>
      <w:r>
        <w:rPr>
          <w:rFonts w:hint="eastAsia" w:ascii="仿宋" w:hAnsi="仿宋" w:eastAsia="仿宋" w:cs="仿宋"/>
          <w:b w:val="0"/>
          <w:bCs w:val="0"/>
          <w:color w:val="auto"/>
          <w:sz w:val="32"/>
          <w:szCs w:val="32"/>
          <w:shd w:val="clear" w:fill="FFFFFF" w:themeFill="background1"/>
          <w:lang w:val="en-US" w:eastAsia="zh-CN"/>
        </w:rPr>
        <w:t>积极开展法治政府创建，以《新洲区法治政府建设实施方案（2021-2025）》文件为依据，对照职责清单，认真履行法治政府建设第一责任人职责。</w:t>
      </w:r>
      <w:r>
        <w:rPr>
          <w:rFonts w:hint="eastAsia" w:ascii="仿宋" w:hAnsi="仿宋" w:eastAsia="仿宋" w:cs="仿宋"/>
          <w:b/>
          <w:bCs/>
          <w:color w:val="auto"/>
          <w:sz w:val="32"/>
          <w:szCs w:val="32"/>
          <w:shd w:val="clear" w:fill="FFFFFF" w:themeFill="background1"/>
          <w:lang w:val="en-US" w:eastAsia="zh-CN"/>
        </w:rPr>
        <w:t>三是</w:t>
      </w:r>
      <w:r>
        <w:rPr>
          <w:rFonts w:hint="eastAsia" w:ascii="仿宋" w:hAnsi="仿宋" w:eastAsia="仿宋" w:cs="仿宋"/>
          <w:b w:val="0"/>
          <w:bCs w:val="0"/>
          <w:color w:val="auto"/>
          <w:sz w:val="32"/>
          <w:szCs w:val="32"/>
          <w:shd w:val="clear" w:fill="FFFFFF" w:themeFill="background1"/>
          <w:lang w:val="en-US" w:eastAsia="zh-CN"/>
        </w:rPr>
        <w:t>健全工作专班，建立了以街道党工委书记、办事处主任为组长，</w:t>
      </w:r>
      <w:r>
        <w:rPr>
          <w:rFonts w:hint="eastAsia" w:ascii="仿宋" w:hAnsi="仿宋" w:eastAsia="仿宋" w:cs="仿宋"/>
          <w:b w:val="0"/>
          <w:bCs w:val="0"/>
          <w:color w:val="auto"/>
          <w:sz w:val="32"/>
          <w:szCs w:val="32"/>
          <w:highlight w:val="none"/>
          <w:shd w:val="clear" w:fill="FFFFFF" w:themeFill="background1"/>
          <w:lang w:val="en-US" w:eastAsia="zh-CN"/>
        </w:rPr>
        <w:t>分管政法领导</w:t>
      </w:r>
      <w:r>
        <w:rPr>
          <w:rFonts w:hint="eastAsia" w:ascii="仿宋" w:hAnsi="仿宋" w:eastAsia="仿宋" w:cs="仿宋"/>
          <w:b w:val="0"/>
          <w:bCs w:val="0"/>
          <w:color w:val="auto"/>
          <w:sz w:val="32"/>
          <w:szCs w:val="32"/>
          <w:shd w:val="clear" w:fill="FFFFFF" w:themeFill="background1"/>
          <w:lang w:val="en-US" w:eastAsia="zh-CN"/>
        </w:rPr>
        <w:t>为副组长，其他班子成员为组员的法治政府建设工作领导小组，领导小组下设办公室，负责法治建设日常工作的组织协调和督查落实，形成主要领导亲自抓、分管领导具体抓的工作格局。</w:t>
      </w:r>
    </w:p>
    <w:p w14:paraId="1989E39D">
      <w:pPr>
        <w:shd w:val="clear"/>
        <w:kinsoku/>
        <w:autoSpaceDE/>
        <w:autoSpaceDN w:val="0"/>
        <w:spacing w:line="432" w:lineRule="auto"/>
        <w:ind w:firstLine="640" w:firstLineChars="200"/>
        <w:jc w:val="both"/>
        <w:rPr>
          <w:rFonts w:hint="eastAsia" w:ascii="仿宋" w:hAnsi="仿宋" w:eastAsia="仿宋" w:cs="仿宋"/>
          <w:color w:val="auto"/>
          <w:sz w:val="32"/>
          <w:szCs w:val="32"/>
          <w:lang w:val="en" w:eastAsia="zh-CN"/>
        </w:rPr>
      </w:pPr>
      <w:r>
        <w:rPr>
          <w:rFonts w:hint="eastAsia" w:ascii="楷体" w:hAnsi="楷体" w:eastAsia="楷体" w:cs="楷体"/>
          <w:sz w:val="32"/>
          <w:szCs w:val="32"/>
          <w:lang w:val="en-US" w:eastAsia="zh-CN"/>
        </w:rPr>
        <w:t>（三）全面推进普法宣传教育，推动法治社会建设。</w:t>
      </w:r>
      <w:r>
        <w:rPr>
          <w:rFonts w:hint="eastAsia" w:ascii="仿宋" w:hAnsi="仿宋" w:eastAsia="仿宋" w:cs="仿宋"/>
          <w:b/>
          <w:bCs/>
          <w:snapToGrid/>
          <w:color w:val="auto"/>
          <w:sz w:val="32"/>
          <w:szCs w:val="32"/>
          <w:shd w:val="clear" w:fill="FFFFFF" w:themeFill="background1"/>
          <w:lang w:eastAsia="zh-CN"/>
        </w:rPr>
        <w:t>一是</w:t>
      </w:r>
      <w:r>
        <w:rPr>
          <w:rFonts w:hint="eastAsia" w:ascii="仿宋" w:hAnsi="仿宋" w:eastAsia="仿宋" w:cs="仿宋"/>
          <w:b w:val="0"/>
          <w:bCs w:val="0"/>
          <w:snapToGrid/>
          <w:color w:val="auto"/>
          <w:sz w:val="32"/>
          <w:szCs w:val="32"/>
          <w:shd w:val="clear" w:fill="FFFFFF" w:themeFill="background1"/>
          <w:lang w:eastAsia="zh-CN"/>
        </w:rPr>
        <w:t>严格落实“谁执法谁普法”责任制，统筹各职能部门开展普法宣传活动。司法所、综治</w:t>
      </w:r>
      <w:r>
        <w:rPr>
          <w:rFonts w:hint="eastAsia" w:ascii="仿宋" w:hAnsi="仿宋" w:eastAsia="仿宋" w:cs="仿宋"/>
          <w:b w:val="0"/>
          <w:bCs w:val="0"/>
          <w:snapToGrid/>
          <w:color w:val="auto"/>
          <w:sz w:val="32"/>
          <w:szCs w:val="32"/>
          <w:shd w:val="clear" w:fill="FFFFFF" w:themeFill="background1"/>
          <w:lang w:val="en-US" w:eastAsia="zh-CN"/>
        </w:rPr>
        <w:t>办</w:t>
      </w:r>
      <w:r>
        <w:rPr>
          <w:rFonts w:hint="eastAsia" w:ascii="仿宋" w:hAnsi="仿宋" w:eastAsia="仿宋" w:cs="仿宋"/>
          <w:b w:val="0"/>
          <w:bCs w:val="0"/>
          <w:snapToGrid/>
          <w:color w:val="auto"/>
          <w:sz w:val="32"/>
          <w:szCs w:val="32"/>
          <w:shd w:val="clear" w:fill="FFFFFF" w:themeFill="background1"/>
          <w:lang w:eastAsia="zh-CN"/>
        </w:rPr>
        <w:t>、</w:t>
      </w:r>
      <w:r>
        <w:rPr>
          <w:rFonts w:hint="eastAsia" w:ascii="仿宋" w:hAnsi="仿宋" w:eastAsia="仿宋" w:cs="仿宋"/>
          <w:b w:val="0"/>
          <w:bCs w:val="0"/>
          <w:snapToGrid/>
          <w:color w:val="auto"/>
          <w:sz w:val="32"/>
          <w:szCs w:val="32"/>
          <w:shd w:val="clear" w:fill="FFFFFF" w:themeFill="background1"/>
          <w:lang w:val="en-US" w:eastAsia="zh-CN"/>
        </w:rPr>
        <w:t>执法中心等多部门</w:t>
      </w:r>
      <w:r>
        <w:rPr>
          <w:rFonts w:hint="eastAsia" w:ascii="仿宋" w:hAnsi="仿宋" w:eastAsia="仿宋" w:cs="仿宋"/>
          <w:b w:val="0"/>
          <w:bCs w:val="0"/>
          <w:snapToGrid/>
          <w:color w:val="auto"/>
          <w:sz w:val="32"/>
          <w:szCs w:val="32"/>
          <w:shd w:val="clear" w:fill="FFFFFF" w:themeFill="background1"/>
          <w:lang w:eastAsia="zh-CN"/>
        </w:rPr>
        <w:t>开展《</w:t>
      </w:r>
      <w:r>
        <w:rPr>
          <w:rFonts w:hint="eastAsia" w:ascii="仿宋" w:hAnsi="仿宋" w:eastAsia="仿宋" w:cs="仿宋"/>
          <w:b w:val="0"/>
          <w:bCs w:val="0"/>
          <w:snapToGrid/>
          <w:color w:val="auto"/>
          <w:sz w:val="32"/>
          <w:szCs w:val="32"/>
          <w:shd w:val="clear" w:fill="FFFFFF" w:themeFill="background1"/>
          <w:lang w:val="en-US" w:eastAsia="zh-CN"/>
        </w:rPr>
        <w:t>民法典</w:t>
      </w:r>
      <w:r>
        <w:rPr>
          <w:rFonts w:hint="eastAsia" w:ascii="仿宋" w:hAnsi="仿宋" w:eastAsia="仿宋" w:cs="仿宋"/>
          <w:snapToGrid/>
          <w:color w:val="auto"/>
          <w:sz w:val="32"/>
          <w:szCs w:val="32"/>
          <w:shd w:val="clear" w:fill="FFFFFF" w:themeFill="background1"/>
          <w:lang w:eastAsia="zh-CN"/>
        </w:rPr>
        <w:t>》《</w:t>
      </w:r>
      <w:r>
        <w:rPr>
          <w:rFonts w:hint="eastAsia" w:ascii="仿宋" w:hAnsi="仿宋" w:eastAsia="仿宋" w:cs="仿宋"/>
          <w:snapToGrid/>
          <w:color w:val="auto"/>
          <w:sz w:val="32"/>
          <w:szCs w:val="32"/>
          <w:shd w:val="clear" w:fill="FFFFFF" w:themeFill="background1"/>
          <w:lang w:val="en-US" w:eastAsia="zh-CN"/>
        </w:rPr>
        <w:t>社区矫正法</w:t>
      </w:r>
      <w:r>
        <w:rPr>
          <w:rFonts w:hint="eastAsia" w:ascii="仿宋" w:hAnsi="仿宋" w:eastAsia="仿宋" w:cs="仿宋"/>
          <w:snapToGrid/>
          <w:color w:val="auto"/>
          <w:sz w:val="32"/>
          <w:szCs w:val="32"/>
          <w:shd w:val="clear" w:fill="FFFFFF" w:themeFill="background1"/>
          <w:lang w:eastAsia="zh-CN"/>
        </w:rPr>
        <w:t>》《</w:t>
      </w:r>
      <w:r>
        <w:rPr>
          <w:rFonts w:hint="eastAsia" w:ascii="仿宋" w:hAnsi="仿宋" w:eastAsia="仿宋" w:cs="仿宋"/>
          <w:snapToGrid/>
          <w:color w:val="auto"/>
          <w:sz w:val="32"/>
          <w:szCs w:val="32"/>
          <w:shd w:val="clear" w:fill="FFFFFF" w:themeFill="background1"/>
          <w:lang w:val="en-US" w:eastAsia="zh-CN"/>
        </w:rPr>
        <w:t>安全生产法</w:t>
      </w:r>
      <w:r>
        <w:rPr>
          <w:rFonts w:hint="eastAsia" w:ascii="仿宋" w:hAnsi="仿宋" w:eastAsia="仿宋" w:cs="仿宋"/>
          <w:snapToGrid/>
          <w:color w:val="auto"/>
          <w:sz w:val="32"/>
          <w:szCs w:val="32"/>
          <w:shd w:val="clear" w:fill="FFFFFF" w:themeFill="background1"/>
          <w:lang w:eastAsia="zh-CN"/>
        </w:rPr>
        <w:t>》等</w:t>
      </w:r>
      <w:r>
        <w:rPr>
          <w:rFonts w:hint="eastAsia" w:ascii="仿宋" w:hAnsi="仿宋" w:eastAsia="仿宋" w:cs="仿宋"/>
          <w:snapToGrid/>
          <w:color w:val="auto"/>
          <w:sz w:val="32"/>
          <w:szCs w:val="32"/>
          <w:shd w:val="clear" w:fill="FFFFFF" w:themeFill="background1"/>
          <w:lang w:val="en-US" w:eastAsia="zh-CN"/>
        </w:rPr>
        <w:t>普法</w:t>
      </w:r>
      <w:r>
        <w:rPr>
          <w:rFonts w:hint="eastAsia" w:ascii="仿宋" w:hAnsi="仿宋" w:eastAsia="仿宋" w:cs="仿宋"/>
          <w:snapToGrid/>
          <w:color w:val="auto"/>
          <w:sz w:val="32"/>
          <w:szCs w:val="32"/>
          <w:shd w:val="clear" w:fill="FFFFFF" w:themeFill="background1"/>
          <w:lang w:eastAsia="zh-CN"/>
        </w:rPr>
        <w:t>宣传</w:t>
      </w:r>
      <w:r>
        <w:rPr>
          <w:rFonts w:hint="eastAsia" w:ascii="仿宋" w:hAnsi="仿宋" w:eastAsia="仿宋" w:cs="仿宋"/>
          <w:snapToGrid/>
          <w:color w:val="auto"/>
          <w:sz w:val="32"/>
          <w:szCs w:val="32"/>
          <w:shd w:val="clear" w:fill="FFFFFF" w:themeFill="background1"/>
          <w:lang w:val="en-US" w:eastAsia="zh-CN"/>
        </w:rPr>
        <w:t>和法治讲座</w:t>
      </w:r>
      <w:r>
        <w:rPr>
          <w:rFonts w:hint="eastAsia" w:ascii="仿宋" w:hAnsi="仿宋" w:eastAsia="仿宋" w:cs="仿宋"/>
          <w:snapToGrid/>
          <w:color w:val="auto"/>
          <w:sz w:val="32"/>
          <w:szCs w:val="32"/>
          <w:shd w:val="clear" w:fill="FFFFFF" w:themeFill="background1"/>
          <w:lang w:eastAsia="zh-CN"/>
        </w:rPr>
        <w:t>活动</w:t>
      </w:r>
      <w:r>
        <w:rPr>
          <w:rFonts w:hint="eastAsia" w:ascii="仿宋" w:hAnsi="仿宋" w:eastAsia="仿宋" w:cs="仿宋"/>
          <w:snapToGrid/>
          <w:color w:val="auto"/>
          <w:sz w:val="32"/>
          <w:szCs w:val="32"/>
          <w:shd w:val="clear" w:fill="FFFFFF" w:themeFill="background1"/>
          <w:lang w:val="en-US" w:eastAsia="zh-CN"/>
        </w:rPr>
        <w:t>20余</w:t>
      </w:r>
      <w:r>
        <w:rPr>
          <w:rFonts w:hint="eastAsia" w:ascii="仿宋" w:hAnsi="仿宋" w:eastAsia="仿宋" w:cs="仿宋"/>
          <w:snapToGrid/>
          <w:color w:val="auto"/>
          <w:sz w:val="32"/>
          <w:szCs w:val="32"/>
          <w:shd w:val="clear" w:fill="FFFFFF" w:themeFill="background1"/>
          <w:lang w:eastAsia="zh-CN"/>
        </w:rPr>
        <w:t>次，累计发放宣传资料</w:t>
      </w:r>
      <w:r>
        <w:rPr>
          <w:rFonts w:hint="eastAsia" w:ascii="仿宋" w:hAnsi="仿宋" w:eastAsia="仿宋" w:cs="仿宋"/>
          <w:snapToGrid/>
          <w:color w:val="auto"/>
          <w:sz w:val="32"/>
          <w:szCs w:val="32"/>
          <w:shd w:val="clear" w:fill="FFFFFF" w:themeFill="background1"/>
          <w:lang w:val="en-US" w:eastAsia="zh-CN"/>
        </w:rPr>
        <w:t>10</w:t>
      </w:r>
      <w:r>
        <w:rPr>
          <w:rFonts w:hint="eastAsia" w:ascii="仿宋" w:hAnsi="仿宋" w:eastAsia="仿宋" w:cs="仿宋"/>
          <w:snapToGrid/>
          <w:color w:val="auto"/>
          <w:sz w:val="32"/>
          <w:szCs w:val="32"/>
          <w:shd w:val="clear" w:fill="FFFFFF" w:themeFill="background1"/>
          <w:lang w:eastAsia="zh-CN"/>
        </w:rPr>
        <w:t>000余份，向群众解答法律、</w:t>
      </w:r>
      <w:r>
        <w:rPr>
          <w:rFonts w:hint="eastAsia" w:ascii="仿宋" w:hAnsi="仿宋" w:eastAsia="仿宋" w:cs="仿宋"/>
          <w:snapToGrid/>
          <w:color w:val="auto"/>
          <w:sz w:val="32"/>
          <w:szCs w:val="32"/>
          <w:shd w:val="clear" w:fill="FFFFFF" w:themeFill="background1"/>
          <w:lang w:val="en-US" w:eastAsia="zh-CN"/>
        </w:rPr>
        <w:t>政策</w:t>
      </w:r>
      <w:r>
        <w:rPr>
          <w:rFonts w:hint="eastAsia" w:ascii="仿宋" w:hAnsi="仿宋" w:eastAsia="仿宋" w:cs="仿宋"/>
          <w:snapToGrid/>
          <w:color w:val="auto"/>
          <w:sz w:val="32"/>
          <w:szCs w:val="32"/>
          <w:shd w:val="clear" w:fill="FFFFFF" w:themeFill="background1"/>
          <w:lang w:eastAsia="zh-CN"/>
        </w:rPr>
        <w:t>咨询</w:t>
      </w:r>
      <w:r>
        <w:rPr>
          <w:rFonts w:hint="eastAsia" w:ascii="仿宋" w:hAnsi="仿宋" w:eastAsia="仿宋" w:cs="仿宋"/>
          <w:snapToGrid/>
          <w:color w:val="auto"/>
          <w:sz w:val="32"/>
          <w:szCs w:val="32"/>
          <w:shd w:val="clear" w:fill="FFFFFF" w:themeFill="background1"/>
          <w:lang w:val="en-US" w:eastAsia="zh-CN"/>
        </w:rPr>
        <w:t>100</w:t>
      </w:r>
      <w:r>
        <w:rPr>
          <w:rFonts w:hint="eastAsia" w:ascii="仿宋" w:hAnsi="仿宋" w:eastAsia="仿宋" w:cs="仿宋"/>
          <w:snapToGrid/>
          <w:color w:val="auto"/>
          <w:sz w:val="32"/>
          <w:szCs w:val="32"/>
          <w:shd w:val="clear" w:fill="FFFFFF" w:themeFill="background1"/>
          <w:lang w:eastAsia="zh-CN"/>
        </w:rPr>
        <w:t>余人次，受宣传教育党员干部、企业负责人、群众、</w:t>
      </w:r>
      <w:r>
        <w:rPr>
          <w:rFonts w:hint="eastAsia" w:ascii="仿宋" w:hAnsi="仿宋" w:eastAsia="仿宋" w:cs="仿宋"/>
          <w:snapToGrid/>
          <w:color w:val="auto"/>
          <w:sz w:val="32"/>
          <w:szCs w:val="32"/>
          <w:shd w:val="clear" w:fill="FFFFFF" w:themeFill="background1"/>
          <w:lang w:val="en-US" w:eastAsia="zh-CN"/>
        </w:rPr>
        <w:t>学生</w:t>
      </w:r>
      <w:r>
        <w:rPr>
          <w:rFonts w:hint="eastAsia" w:ascii="仿宋" w:hAnsi="仿宋" w:eastAsia="仿宋" w:cs="仿宋"/>
          <w:snapToGrid/>
          <w:color w:val="auto"/>
          <w:sz w:val="32"/>
          <w:szCs w:val="32"/>
          <w:shd w:val="clear" w:fill="FFFFFF" w:themeFill="background1"/>
          <w:lang w:eastAsia="zh-CN"/>
        </w:rPr>
        <w:t>达</w:t>
      </w:r>
      <w:r>
        <w:rPr>
          <w:rFonts w:hint="eastAsia" w:ascii="仿宋" w:hAnsi="仿宋" w:eastAsia="仿宋" w:cs="仿宋"/>
          <w:snapToGrid/>
          <w:color w:val="auto"/>
          <w:sz w:val="32"/>
          <w:szCs w:val="32"/>
          <w:shd w:val="clear" w:fill="FFFFFF" w:themeFill="background1"/>
          <w:lang w:val="en-US" w:eastAsia="zh-CN"/>
        </w:rPr>
        <w:t>10</w:t>
      </w:r>
      <w:r>
        <w:rPr>
          <w:rFonts w:hint="eastAsia" w:ascii="仿宋" w:hAnsi="仿宋" w:eastAsia="仿宋" w:cs="仿宋"/>
          <w:snapToGrid/>
          <w:color w:val="auto"/>
          <w:sz w:val="32"/>
          <w:szCs w:val="32"/>
          <w:shd w:val="clear" w:fill="FFFFFF" w:themeFill="background1"/>
          <w:lang w:eastAsia="zh-CN"/>
        </w:rPr>
        <w:t>000余人次</w:t>
      </w:r>
      <w:r>
        <w:rPr>
          <w:rFonts w:hint="eastAsia" w:ascii="仿宋" w:hAnsi="仿宋" w:eastAsia="仿宋" w:cs="仿宋"/>
          <w:snapToGrid/>
          <w:color w:val="auto"/>
          <w:sz w:val="32"/>
          <w:szCs w:val="32"/>
          <w:shd w:val="clear" w:fill="FFFFFF" w:themeFill="background1"/>
          <w:lang w:val="en-US" w:eastAsia="zh-CN"/>
        </w:rPr>
        <w:t>。</w:t>
      </w:r>
      <w:r>
        <w:rPr>
          <w:rFonts w:hint="eastAsia" w:ascii="仿宋" w:hAnsi="仿宋" w:eastAsia="仿宋" w:cs="仿宋"/>
          <w:b/>
          <w:bCs/>
          <w:snapToGrid/>
          <w:color w:val="auto"/>
          <w:sz w:val="32"/>
          <w:szCs w:val="32"/>
          <w:shd w:val="clear" w:fill="FFFFFF" w:themeFill="background1"/>
          <w:lang w:eastAsia="zh-CN"/>
        </w:rPr>
        <w:t>二是</w:t>
      </w:r>
      <w:r>
        <w:rPr>
          <w:rFonts w:hint="eastAsia" w:ascii="仿宋" w:hAnsi="仿宋" w:eastAsia="仿宋" w:cs="仿宋"/>
          <w:b w:val="0"/>
          <w:bCs w:val="0"/>
          <w:snapToGrid/>
          <w:color w:val="auto"/>
          <w:sz w:val="32"/>
          <w:szCs w:val="32"/>
          <w:shd w:val="clear" w:fill="FFFFFF" w:themeFill="background1"/>
          <w:lang w:eastAsia="zh-CN"/>
        </w:rPr>
        <w:t>加强对</w:t>
      </w:r>
      <w:r>
        <w:rPr>
          <w:rFonts w:hint="eastAsia" w:ascii="仿宋" w:hAnsi="仿宋" w:eastAsia="仿宋" w:cs="仿宋"/>
          <w:b w:val="0"/>
          <w:bCs w:val="0"/>
          <w:snapToGrid/>
          <w:color w:val="auto"/>
          <w:sz w:val="32"/>
          <w:szCs w:val="32"/>
          <w:shd w:val="clear" w:fill="FFFFFF" w:themeFill="background1"/>
          <w:lang w:val="en-US" w:eastAsia="zh-CN"/>
        </w:rPr>
        <w:t>妇女儿童</w:t>
      </w:r>
      <w:r>
        <w:rPr>
          <w:rFonts w:hint="eastAsia" w:ascii="仿宋" w:hAnsi="仿宋" w:eastAsia="仿宋" w:cs="仿宋"/>
          <w:b w:val="0"/>
          <w:bCs w:val="0"/>
          <w:snapToGrid/>
          <w:color w:val="auto"/>
          <w:sz w:val="32"/>
          <w:szCs w:val="32"/>
          <w:shd w:val="clear" w:fill="FFFFFF" w:themeFill="background1"/>
          <w:lang w:eastAsia="zh-CN"/>
        </w:rPr>
        <w:t>、青少年等重点人群的普法教育。切实维护妇女儿童合法权益，举办“三八”妇女维权周法治讲座</w:t>
      </w:r>
      <w:r>
        <w:rPr>
          <w:rFonts w:hint="eastAsia" w:ascii="仿宋" w:hAnsi="仿宋" w:eastAsia="仿宋" w:cs="仿宋"/>
          <w:b w:val="0"/>
          <w:bCs w:val="0"/>
          <w:snapToGrid/>
          <w:color w:val="auto"/>
          <w:sz w:val="32"/>
          <w:szCs w:val="32"/>
          <w:shd w:val="clear" w:fill="FFFFFF" w:themeFill="background1"/>
          <w:lang w:val="en-US" w:eastAsia="zh-CN"/>
        </w:rPr>
        <w:t>1场</w:t>
      </w:r>
      <w:r>
        <w:rPr>
          <w:rFonts w:hint="eastAsia" w:ascii="仿宋" w:hAnsi="仿宋" w:eastAsia="仿宋" w:cs="仿宋"/>
          <w:color w:val="auto"/>
          <w:sz w:val="32"/>
          <w:szCs w:val="32"/>
          <w:highlight w:val="none"/>
          <w:lang w:val="en-US" w:eastAsia="zh-CN"/>
        </w:rPr>
        <w:t>次</w:t>
      </w:r>
      <w:r>
        <w:rPr>
          <w:rFonts w:hint="eastAsia" w:ascii="仿宋" w:hAnsi="仿宋" w:eastAsia="仿宋" w:cs="仿宋"/>
          <w:b w:val="0"/>
          <w:bCs w:val="0"/>
          <w:snapToGrid/>
          <w:color w:val="auto"/>
          <w:sz w:val="32"/>
          <w:szCs w:val="32"/>
          <w:shd w:val="clear" w:fill="FFFFFF" w:themeFill="background1"/>
          <w:lang w:val="en-US" w:eastAsia="zh-CN"/>
        </w:rPr>
        <w:t>、</w:t>
      </w:r>
      <w:r>
        <w:rPr>
          <w:rFonts w:hint="eastAsia" w:ascii="仿宋" w:hAnsi="仿宋" w:eastAsia="仿宋" w:cs="仿宋"/>
          <w:b w:val="0"/>
          <w:bCs w:val="0"/>
          <w:snapToGrid/>
          <w:color w:val="auto"/>
          <w:sz w:val="32"/>
          <w:szCs w:val="32"/>
          <w:shd w:val="clear" w:fill="FFFFFF" w:themeFill="background1"/>
          <w:lang w:eastAsia="zh-CN"/>
        </w:rPr>
        <w:t>“4·15”国家安全日</w:t>
      </w:r>
      <w:r>
        <w:rPr>
          <w:rFonts w:hint="eastAsia" w:ascii="仿宋" w:hAnsi="仿宋" w:eastAsia="仿宋" w:cs="仿宋"/>
          <w:color w:val="auto"/>
          <w:sz w:val="32"/>
          <w:szCs w:val="32"/>
          <w:highlight w:val="none"/>
          <w:lang w:val="en-US" w:eastAsia="zh-CN"/>
        </w:rPr>
        <w:t>法治讲座1场次</w:t>
      </w:r>
      <w:r>
        <w:rPr>
          <w:rFonts w:hint="eastAsia" w:ascii="仿宋" w:hAnsi="仿宋" w:eastAsia="仿宋" w:cs="仿宋"/>
          <w:b w:val="0"/>
          <w:bCs w:val="0"/>
          <w:snapToGrid/>
          <w:color w:val="auto"/>
          <w:sz w:val="32"/>
          <w:szCs w:val="32"/>
          <w:shd w:val="clear" w:fill="FFFFFF" w:themeFill="background1"/>
          <w:lang w:eastAsia="zh-CN"/>
        </w:rPr>
        <w:t>、</w:t>
      </w:r>
      <w:r>
        <w:rPr>
          <w:rFonts w:hint="eastAsia" w:ascii="仿宋" w:hAnsi="仿宋" w:eastAsia="仿宋" w:cs="仿宋"/>
          <w:b w:val="0"/>
          <w:bCs w:val="0"/>
          <w:snapToGrid/>
          <w:color w:val="auto"/>
          <w:sz w:val="32"/>
          <w:szCs w:val="32"/>
          <w:shd w:val="clear" w:fill="FFFFFF" w:themeFill="background1"/>
          <w:lang w:val="en-US" w:eastAsia="zh-CN"/>
        </w:rPr>
        <w:t>“防范校园欺凌”法治讲座2场次</w:t>
      </w:r>
      <w:r>
        <w:rPr>
          <w:rFonts w:hint="eastAsia" w:ascii="仿宋" w:hAnsi="仿宋" w:eastAsia="仿宋" w:cs="仿宋"/>
          <w:b w:val="0"/>
          <w:bCs w:val="0"/>
          <w:snapToGrid/>
          <w:color w:val="auto"/>
          <w:sz w:val="32"/>
          <w:szCs w:val="32"/>
          <w:shd w:val="clear" w:fill="FFFFFF" w:themeFill="background1"/>
          <w:lang w:eastAsia="zh-CN"/>
        </w:rPr>
        <w:t>、</w:t>
      </w:r>
      <w:r>
        <w:rPr>
          <w:rFonts w:hint="eastAsia" w:ascii="仿宋" w:hAnsi="仿宋" w:eastAsia="仿宋" w:cs="仿宋"/>
          <w:b w:val="0"/>
          <w:bCs w:val="0"/>
          <w:snapToGrid/>
          <w:color w:val="auto"/>
          <w:sz w:val="32"/>
          <w:szCs w:val="32"/>
          <w:shd w:val="clear" w:fill="FFFFFF" w:themeFill="background1"/>
          <w:lang w:val="en-US" w:eastAsia="zh-CN"/>
        </w:rPr>
        <w:t>《未成年人保护法》法治讲座1场次。</w:t>
      </w:r>
      <w:r>
        <w:rPr>
          <w:rFonts w:hint="eastAsia" w:ascii="仿宋" w:hAnsi="仿宋" w:eastAsia="仿宋" w:cs="仿宋"/>
          <w:b/>
          <w:bCs/>
          <w:snapToGrid/>
          <w:color w:val="auto"/>
          <w:sz w:val="32"/>
          <w:szCs w:val="32"/>
          <w:shd w:val="clear" w:fill="FFFFFF" w:themeFill="background1"/>
          <w:lang w:val="en-US" w:eastAsia="zh-CN"/>
        </w:rPr>
        <w:t>三是</w:t>
      </w:r>
      <w:r>
        <w:rPr>
          <w:rFonts w:hint="eastAsia" w:ascii="仿宋" w:hAnsi="仿宋" w:eastAsia="仿宋" w:cs="仿宋"/>
          <w:snapToGrid/>
          <w:color w:val="auto"/>
          <w:sz w:val="32"/>
          <w:szCs w:val="32"/>
          <w:shd w:val="clear" w:fill="FFFFFF" w:themeFill="background1"/>
          <w:lang w:val="en-US" w:eastAsia="zh-CN"/>
        </w:rPr>
        <w:t>切实提升党员干部法治素养。开展2024年汪集街入党积极分子法治培训；</w:t>
      </w:r>
      <w:r>
        <w:rPr>
          <w:rFonts w:hint="eastAsia" w:ascii="仿宋" w:hAnsi="仿宋" w:eastAsia="仿宋" w:cs="仿宋"/>
          <w:snapToGrid/>
          <w:color w:val="auto"/>
          <w:sz w:val="32"/>
          <w:szCs w:val="32"/>
          <w:shd w:val="clear" w:fill="FFFFFF" w:themeFill="background1"/>
          <w:lang w:eastAsia="zh-CN"/>
        </w:rPr>
        <w:t>组织全街</w:t>
      </w:r>
      <w:r>
        <w:rPr>
          <w:rFonts w:hint="eastAsia" w:ascii="仿宋" w:hAnsi="仿宋" w:eastAsia="仿宋" w:cs="仿宋"/>
          <w:snapToGrid/>
          <w:color w:val="auto"/>
          <w:sz w:val="32"/>
          <w:szCs w:val="32"/>
          <w:shd w:val="clear" w:fill="FFFFFF" w:themeFill="background1"/>
          <w:lang w:val="en-US" w:eastAsia="zh-CN"/>
        </w:rPr>
        <w:t>160名</w:t>
      </w:r>
      <w:r>
        <w:rPr>
          <w:rFonts w:hint="eastAsia" w:ascii="仿宋" w:hAnsi="仿宋" w:eastAsia="仿宋" w:cs="仿宋"/>
          <w:snapToGrid/>
          <w:color w:val="auto"/>
          <w:sz w:val="32"/>
          <w:szCs w:val="32"/>
          <w:shd w:val="clear" w:fill="FFFFFF" w:themeFill="background1"/>
          <w:lang w:eastAsia="zh-CN"/>
        </w:rPr>
        <w:t>“法律明白人”参与</w:t>
      </w:r>
      <w:r>
        <w:rPr>
          <w:rFonts w:hint="eastAsia" w:ascii="仿宋" w:hAnsi="仿宋" w:eastAsia="仿宋" w:cs="仿宋"/>
          <w:snapToGrid/>
          <w:color w:val="auto"/>
          <w:sz w:val="32"/>
          <w:szCs w:val="32"/>
          <w:shd w:val="clear" w:fill="FFFFFF" w:themeFill="background1"/>
          <w:lang w:val="en-US" w:eastAsia="zh-CN"/>
        </w:rPr>
        <w:t>法治</w:t>
      </w:r>
      <w:r>
        <w:rPr>
          <w:rFonts w:hint="eastAsia" w:ascii="仿宋" w:hAnsi="仿宋" w:eastAsia="仿宋" w:cs="仿宋"/>
          <w:snapToGrid/>
          <w:color w:val="auto"/>
          <w:sz w:val="32"/>
          <w:szCs w:val="32"/>
          <w:shd w:val="clear" w:fill="FFFFFF" w:themeFill="background1"/>
          <w:lang w:eastAsia="zh-CN"/>
        </w:rPr>
        <w:t>培训</w:t>
      </w:r>
      <w:r>
        <w:rPr>
          <w:rFonts w:hint="eastAsia" w:ascii="仿宋" w:hAnsi="仿宋" w:eastAsia="仿宋" w:cs="仿宋"/>
          <w:snapToGrid/>
          <w:color w:val="auto"/>
          <w:sz w:val="32"/>
          <w:szCs w:val="32"/>
          <w:shd w:val="clear" w:fill="FFFFFF" w:themeFill="background1"/>
          <w:lang w:val="en-US" w:eastAsia="zh-CN"/>
        </w:rPr>
        <w:t>2场，提高“法律明白人”的法律素养和实战水平。</w:t>
      </w:r>
    </w:p>
    <w:p w14:paraId="2FFC9422">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（四）加强法治保障，增进民生福祉。</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依法维护社会安定。常态化开展反电诈、扫黑除恶、禁毒活动，依法打击各类突出违法犯罪活动，全力保障人民群众生命财产安全。二</w:t>
      </w:r>
      <w:r>
        <w:rPr>
          <w:rFonts w:hint="eastAsia" w:ascii="仿宋" w:hAnsi="仿宋" w:eastAsia="仿宋" w:cs="仿宋"/>
          <w:b/>
          <w:bCs/>
          <w:color w:val="auto"/>
          <w:sz w:val="32"/>
          <w:szCs w:val="32"/>
          <w:lang w:val="en-US" w:eastAsia="zh-CN"/>
        </w:rPr>
        <w:t>是</w:t>
      </w:r>
      <w:r>
        <w:rPr>
          <w:rFonts w:hint="eastAsia" w:ascii="仿宋" w:hAnsi="仿宋" w:eastAsia="仿宋" w:cs="仿宋"/>
          <w:color w:val="auto"/>
          <w:sz w:val="32"/>
          <w:szCs w:val="32"/>
          <w:lang w:val="en-US" w:eastAsia="zh-CN"/>
        </w:rPr>
        <w:t>扎实推进</w:t>
      </w:r>
      <w:r>
        <w:rPr>
          <w:rFonts w:hint="eastAsia" w:ascii="仿宋" w:hAnsi="仿宋" w:eastAsia="仿宋" w:cs="仿宋"/>
          <w:snapToGrid/>
          <w:color w:val="auto"/>
          <w:sz w:val="32"/>
          <w:szCs w:val="32"/>
          <w:shd w:val="clear" w:fill="FFFFFF" w:themeFill="background1"/>
          <w:lang w:val="en-US" w:eastAsia="zh-CN"/>
        </w:rPr>
        <w:t>法治护航企业发展</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lang w:val="en-US" w:eastAsia="zh-CN"/>
        </w:rPr>
        <w:t>新洲区2024年“法治护航促发展 助企纾困解难题”活动，挂牌成立汪集工业园公共法律服务工作中心、涉企行政执法监督联系点，建立常态化政企沟通制度，切实解决企业发展面临的困难。开展“‘典’入园区 法护营商”涉企法律服务座谈会，帮助企业切实化解生产经营中的法律风险。</w:t>
      </w:r>
      <w:r>
        <w:rPr>
          <w:rFonts w:hint="eastAsia" w:ascii="仿宋" w:hAnsi="仿宋" w:eastAsia="仿宋" w:cs="仿宋"/>
          <w:b/>
          <w:bCs/>
          <w:snapToGrid/>
          <w:color w:val="auto"/>
          <w:sz w:val="32"/>
          <w:szCs w:val="32"/>
          <w:shd w:val="clear" w:color="auto" w:fill="FFFFFF"/>
          <w:lang w:val="en-US" w:eastAsia="zh-CN"/>
        </w:rPr>
        <w:t>三是</w:t>
      </w:r>
      <w:r>
        <w:rPr>
          <w:rFonts w:hint="eastAsia" w:ascii="仿宋" w:hAnsi="仿宋" w:eastAsia="仿宋" w:cs="仿宋"/>
          <w:snapToGrid/>
          <w:color w:val="auto"/>
          <w:sz w:val="32"/>
          <w:szCs w:val="32"/>
          <w:shd w:val="clear" w:color="auto" w:fill="FFFFFF"/>
          <w:lang w:val="en-US" w:eastAsia="zh-CN"/>
        </w:rPr>
        <w:t>持续深化政务管理服务改革。把“高效办成一件事”作为利企便民的重要抓手，积极推行“不见面审批”和“一次性办好”的服务机制，推进“一网通办”，实现办事流程最优化、办事材料最简化。</w:t>
      </w:r>
    </w:p>
    <w:p w14:paraId="6FC653BA">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楷体" w:hAnsi="楷体" w:eastAsia="楷体" w:cs="楷体"/>
          <w:sz w:val="32"/>
          <w:szCs w:val="32"/>
          <w:lang w:val="en-US" w:eastAsia="zh-CN"/>
        </w:rPr>
        <w:t>（五）优化法治服务，助推企业发展。</w:t>
      </w:r>
      <w:r>
        <w:rPr>
          <w:rFonts w:hint="eastAsia" w:ascii="仿宋" w:hAnsi="仿宋" w:eastAsia="仿宋" w:cs="仿宋"/>
          <w:b/>
          <w:bCs/>
          <w:sz w:val="32"/>
          <w:szCs w:val="32"/>
          <w:lang w:val="en-US" w:eastAsia="zh-CN"/>
        </w:rPr>
        <w:t>一是</w:t>
      </w:r>
      <w:r>
        <w:rPr>
          <w:rFonts w:hint="eastAsia" w:ascii="仿宋" w:hAnsi="仿宋" w:eastAsia="仿宋" w:cs="仿宋"/>
          <w:sz w:val="32"/>
          <w:szCs w:val="32"/>
          <w:highlight w:val="none"/>
        </w:rPr>
        <w:t>立足产业发展客观需求，</w:t>
      </w:r>
      <w:r>
        <w:rPr>
          <w:rFonts w:hint="eastAsia" w:ascii="仿宋" w:hAnsi="仿宋" w:eastAsia="仿宋" w:cs="仿宋"/>
          <w:sz w:val="32"/>
          <w:szCs w:val="32"/>
          <w:highlight w:val="none"/>
          <w:lang w:val="en-US" w:eastAsia="zh-CN"/>
        </w:rPr>
        <w:t>科学</w:t>
      </w:r>
      <w:r>
        <w:rPr>
          <w:rFonts w:hint="eastAsia" w:ascii="仿宋" w:hAnsi="仿宋" w:eastAsia="仿宋" w:cs="仿宋"/>
          <w:sz w:val="32"/>
          <w:szCs w:val="32"/>
          <w:highlight w:val="none"/>
        </w:rPr>
        <w:t>编制局部控制性详规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不断优化产业园区、工业厂房等产业承接载体，</w:t>
      </w:r>
      <w:r>
        <w:rPr>
          <w:rFonts w:hint="eastAsia" w:ascii="仿宋" w:hAnsi="仿宋" w:eastAsia="仿宋" w:cs="仿宋"/>
          <w:sz w:val="32"/>
          <w:szCs w:val="32"/>
          <w:highlight w:val="none"/>
          <w:lang w:val="en-US" w:eastAsia="zh-CN"/>
        </w:rPr>
        <w:t>为企业打造优质创业环境</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val="en-US" w:eastAsia="zh-CN"/>
        </w:rPr>
        <w:t>二是</w:t>
      </w:r>
      <w:r>
        <w:rPr>
          <w:rFonts w:hint="eastAsia" w:ascii="仿宋" w:hAnsi="仿宋" w:eastAsia="仿宋" w:cs="仿宋"/>
          <w:sz w:val="32"/>
          <w:szCs w:val="32"/>
          <w:highlight w:val="none"/>
          <w:lang w:val="en-US" w:eastAsia="zh-CN"/>
        </w:rPr>
        <w:t>探索打造新洲区青创园试点园区，培育一批创新能力强、发展潜力好的初创企业，稳步推进创新成果转化，激活产业发展新动能；</w:t>
      </w:r>
      <w:r>
        <w:rPr>
          <w:rFonts w:hint="eastAsia" w:ascii="仿宋" w:hAnsi="仿宋" w:eastAsia="仿宋" w:cs="仿宋"/>
          <w:b/>
          <w:bCs/>
          <w:sz w:val="32"/>
          <w:szCs w:val="32"/>
          <w:highlight w:val="none"/>
          <w:lang w:val="en-US" w:eastAsia="zh-CN"/>
        </w:rPr>
        <w:t>三是</w:t>
      </w:r>
      <w:r>
        <w:rPr>
          <w:rFonts w:hint="eastAsia" w:ascii="仿宋" w:hAnsi="仿宋" w:eastAsia="仿宋" w:cs="仿宋"/>
          <w:sz w:val="32"/>
          <w:szCs w:val="32"/>
          <w:highlight w:val="none"/>
        </w:rPr>
        <w:t>帮助企业用足用好惠企政策，建立定向联系服务优秀人才制度，推行“一个项目一个专班”招商包保制度，切实解决项目建设过程中的困难问题。</w:t>
      </w:r>
    </w:p>
    <w:p w14:paraId="7C18A61D">
      <w:pPr>
        <w:numPr>
          <w:ilvl w:val="0"/>
          <w:numId w:val="0"/>
        </w:numPr>
        <w:shd w:val="clear" w:color="auto" w:fill="auto"/>
        <w:kinsoku/>
        <w:autoSpaceDE/>
        <w:autoSpaceDN w:val="0"/>
        <w:spacing w:line="432" w:lineRule="auto"/>
        <w:ind w:firstLine="640" w:firstLineChars="200"/>
        <w:rPr>
          <w:rFonts w:hint="eastAsia" w:ascii="仿宋" w:hAnsi="仿宋" w:eastAsia="仿宋" w:cs="仿宋"/>
          <w:sz w:val="32"/>
          <w:szCs w:val="32"/>
          <w:highlight w:val="none"/>
          <w:lang w:eastAsia="zh-CN"/>
        </w:rPr>
      </w:pPr>
      <w:r>
        <w:rPr>
          <w:rFonts w:hint="eastAsia" w:ascii="楷体" w:hAnsi="楷体" w:eastAsia="楷体" w:cs="楷体"/>
          <w:sz w:val="32"/>
          <w:szCs w:val="32"/>
          <w:lang w:val="en-US" w:eastAsia="zh-CN"/>
        </w:rPr>
        <w:t>（六）完善大调解格局，筑牢平安建设工作基础。</w:t>
      </w:r>
      <w:r>
        <w:rPr>
          <w:rFonts w:hint="eastAsia" w:ascii="仿宋" w:hAnsi="仿宋" w:eastAsia="仿宋" w:cs="仿宋"/>
          <w:b/>
          <w:bCs/>
          <w:snapToGrid/>
          <w:color w:val="auto"/>
          <w:sz w:val="32"/>
          <w:szCs w:val="32"/>
          <w:shd w:val="clear" w:color="auto" w:fill="FFFFFF"/>
          <w:lang w:val="en-US" w:eastAsia="zh-CN"/>
        </w:rPr>
        <w:t>一是</w:t>
      </w:r>
      <w:r>
        <w:rPr>
          <w:rFonts w:hint="eastAsia" w:ascii="仿宋" w:hAnsi="仿宋" w:eastAsia="仿宋" w:cs="仿宋"/>
          <w:b w:val="0"/>
          <w:bCs w:val="0"/>
          <w:snapToGrid/>
          <w:color w:val="auto"/>
          <w:sz w:val="32"/>
          <w:szCs w:val="32"/>
          <w:shd w:val="clear" w:color="auto" w:fill="FFFFFF"/>
          <w:lang w:val="en-US" w:eastAsia="zh-CN"/>
        </w:rPr>
        <w:t>加强特殊人群管控，</w:t>
      </w:r>
      <w:r>
        <w:rPr>
          <w:rFonts w:hint="eastAsia" w:ascii="仿宋" w:hAnsi="仿宋" w:eastAsia="仿宋" w:cs="仿宋"/>
          <w:color w:val="auto"/>
          <w:sz w:val="32"/>
          <w:szCs w:val="32"/>
          <w:lang w:val="en-US" w:eastAsia="zh-CN"/>
        </w:rPr>
        <w:t>组织社区矫正对象参加集中教育</w:t>
      </w:r>
      <w:r>
        <w:rPr>
          <w:rFonts w:hint="eastAsia" w:ascii="仿宋" w:hAnsi="仿宋" w:eastAsia="仿宋" w:cs="仿宋"/>
          <w:color w:val="auto"/>
          <w:sz w:val="32"/>
          <w:szCs w:val="32"/>
          <w:highlight w:val="none"/>
          <w:lang w:val="en-US" w:eastAsia="zh-CN"/>
        </w:rPr>
        <w:t>6场次、公益劳动10场次，走访矫正对象169次，</w:t>
      </w:r>
      <w:r>
        <w:rPr>
          <w:rFonts w:hint="eastAsia" w:ascii="仿宋" w:hAnsi="仿宋" w:eastAsia="仿宋" w:cs="仿宋"/>
          <w:b w:val="0"/>
          <w:bCs w:val="0"/>
          <w:snapToGrid/>
          <w:color w:val="auto"/>
          <w:sz w:val="32"/>
          <w:szCs w:val="32"/>
          <w:highlight w:val="none"/>
          <w:shd w:val="clear" w:color="auto" w:fill="FFFFFF"/>
          <w:lang w:val="en-US" w:eastAsia="zh-CN"/>
        </w:rPr>
        <w:t>平安办、司法所、派出所、卫</w:t>
      </w:r>
      <w:r>
        <w:rPr>
          <w:rFonts w:hint="eastAsia" w:ascii="仿宋" w:hAnsi="仿宋" w:eastAsia="仿宋" w:cs="仿宋"/>
          <w:b w:val="0"/>
          <w:bCs w:val="0"/>
          <w:snapToGrid/>
          <w:color w:val="auto"/>
          <w:sz w:val="32"/>
          <w:szCs w:val="32"/>
          <w:shd w:val="clear" w:color="auto" w:fill="FFFFFF"/>
          <w:lang w:val="en-US" w:eastAsia="zh-CN"/>
        </w:rPr>
        <w:t>生院等单位每月到村和社区走访重点人群，目前辖区</w:t>
      </w:r>
      <w:r>
        <w:rPr>
          <w:rFonts w:hint="eastAsia" w:ascii="仿宋" w:hAnsi="仿宋" w:eastAsia="仿宋" w:cs="仿宋"/>
          <w:b w:val="0"/>
          <w:bCs w:val="0"/>
          <w:snapToGrid/>
          <w:color w:val="auto"/>
          <w:sz w:val="32"/>
          <w:szCs w:val="32"/>
          <w:highlight w:val="none"/>
          <w:shd w:val="clear" w:color="auto" w:fill="FFFFFF"/>
          <w:lang w:val="en-US" w:eastAsia="zh-CN"/>
        </w:rPr>
        <w:t>吸毒人员637人、精神障碍患者655人</w:t>
      </w:r>
      <w:r>
        <w:rPr>
          <w:rFonts w:hint="eastAsia" w:ascii="仿宋" w:hAnsi="仿宋" w:eastAsia="仿宋" w:cs="仿宋"/>
          <w:b w:val="0"/>
          <w:bCs w:val="0"/>
          <w:snapToGrid/>
          <w:color w:val="auto"/>
          <w:sz w:val="32"/>
          <w:szCs w:val="32"/>
          <w:shd w:val="clear" w:color="auto" w:fill="FFFFFF"/>
          <w:lang w:val="en-US" w:eastAsia="zh-CN"/>
        </w:rPr>
        <w:t>（其中：</w:t>
      </w:r>
      <w:r>
        <w:rPr>
          <w:rFonts w:hint="eastAsia" w:ascii="仿宋" w:hAnsi="仿宋" w:eastAsia="仿宋" w:cs="仿宋"/>
          <w:b w:val="0"/>
          <w:bCs w:val="0"/>
          <w:snapToGrid/>
          <w:color w:val="auto"/>
          <w:sz w:val="32"/>
          <w:szCs w:val="32"/>
          <w:highlight w:val="none"/>
          <w:shd w:val="clear" w:color="auto" w:fill="FFFFFF"/>
          <w:lang w:val="en-US" w:eastAsia="zh-CN"/>
        </w:rPr>
        <w:t>三级以上100人</w:t>
      </w:r>
      <w:r>
        <w:rPr>
          <w:rFonts w:hint="eastAsia" w:ascii="仿宋" w:hAnsi="仿宋" w:eastAsia="仿宋" w:cs="仿宋"/>
          <w:b w:val="0"/>
          <w:bCs w:val="0"/>
          <w:snapToGrid/>
          <w:color w:val="auto"/>
          <w:sz w:val="32"/>
          <w:szCs w:val="32"/>
          <w:shd w:val="clear" w:color="auto" w:fill="FFFFFF"/>
          <w:lang w:val="en-US" w:eastAsia="zh-CN"/>
        </w:rPr>
        <w:t>）、社区矫正对象25人、刑释人员270人（其中：重点人员28人）、独居老人（含孤儿）</w:t>
      </w:r>
      <w:r>
        <w:rPr>
          <w:rFonts w:hint="eastAsia" w:ascii="仿宋" w:hAnsi="仿宋" w:eastAsia="仿宋" w:cs="仿宋"/>
          <w:b w:val="0"/>
          <w:bCs w:val="0"/>
          <w:snapToGrid/>
          <w:color w:val="auto"/>
          <w:sz w:val="32"/>
          <w:szCs w:val="32"/>
          <w:highlight w:val="none"/>
          <w:shd w:val="clear" w:color="auto" w:fill="FFFFFF"/>
          <w:lang w:val="en-US" w:eastAsia="zh-CN"/>
        </w:rPr>
        <w:t>28</w:t>
      </w:r>
      <w:r>
        <w:rPr>
          <w:rFonts w:hint="eastAsia" w:ascii="仿宋" w:hAnsi="仿宋" w:eastAsia="仿宋" w:cs="仿宋"/>
          <w:b w:val="0"/>
          <w:bCs w:val="0"/>
          <w:snapToGrid/>
          <w:color w:val="auto"/>
          <w:sz w:val="32"/>
          <w:szCs w:val="32"/>
          <w:shd w:val="clear" w:color="auto" w:fill="FFFFFF"/>
          <w:lang w:val="en-US" w:eastAsia="zh-CN"/>
        </w:rPr>
        <w:t>人、生活困难党员和群众</w:t>
      </w:r>
      <w:r>
        <w:rPr>
          <w:rFonts w:hint="eastAsia" w:ascii="仿宋" w:hAnsi="仿宋" w:eastAsia="仿宋" w:cs="仿宋"/>
          <w:b w:val="0"/>
          <w:bCs w:val="0"/>
          <w:snapToGrid/>
          <w:color w:val="auto"/>
          <w:sz w:val="32"/>
          <w:szCs w:val="32"/>
          <w:highlight w:val="none"/>
          <w:shd w:val="clear" w:color="auto" w:fill="FFFFFF"/>
          <w:lang w:val="en-US" w:eastAsia="zh-CN"/>
        </w:rPr>
        <w:t>1487</w:t>
      </w:r>
      <w:r>
        <w:rPr>
          <w:rFonts w:hint="eastAsia" w:ascii="仿宋" w:hAnsi="仿宋" w:eastAsia="仿宋" w:cs="仿宋"/>
          <w:b w:val="0"/>
          <w:bCs w:val="0"/>
          <w:snapToGrid/>
          <w:color w:val="auto"/>
          <w:sz w:val="32"/>
          <w:szCs w:val="32"/>
          <w:shd w:val="clear" w:color="auto" w:fill="FFFFFF"/>
          <w:lang w:val="en-US" w:eastAsia="zh-CN"/>
        </w:rPr>
        <w:t>人均情况稳定，未出现明显犯罪风险。</w:t>
      </w:r>
      <w:r>
        <w:rPr>
          <w:rFonts w:hint="eastAsia" w:ascii="仿宋" w:hAnsi="仿宋" w:eastAsia="仿宋" w:cs="仿宋"/>
          <w:b/>
          <w:bCs/>
          <w:snapToGrid/>
          <w:color w:val="auto"/>
          <w:sz w:val="32"/>
          <w:szCs w:val="32"/>
          <w:shd w:val="clear" w:color="auto" w:fill="FFFFFF"/>
          <w:lang w:val="en-US" w:eastAsia="zh-CN"/>
        </w:rPr>
        <w:t>二是</w:t>
      </w:r>
      <w:r>
        <w:rPr>
          <w:rFonts w:hint="eastAsia" w:ascii="仿宋" w:hAnsi="仿宋" w:eastAsia="仿宋" w:cs="仿宋"/>
          <w:b w:val="0"/>
          <w:bCs w:val="0"/>
          <w:snapToGrid/>
          <w:color w:val="auto"/>
          <w:sz w:val="32"/>
          <w:szCs w:val="32"/>
          <w:shd w:val="clear" w:color="auto" w:fill="FFFFFF"/>
          <w:lang w:val="en-US" w:eastAsia="zh-CN"/>
        </w:rPr>
        <w:t>以村（社区）调委会为抓手，深化矛盾纠纷排查。指导村（社区）调委会调解矛盾纠纷157件，街道调委会参与调解重大矛盾纠纷11件，调解成功率达到100%，涉案金额224.2万元。</w:t>
      </w:r>
      <w:r>
        <w:rPr>
          <w:rFonts w:hint="eastAsia" w:ascii="仿宋" w:hAnsi="仿宋" w:eastAsia="仿宋" w:cs="仿宋"/>
          <w:b/>
          <w:bCs/>
          <w:snapToGrid/>
          <w:color w:val="auto"/>
          <w:sz w:val="32"/>
          <w:szCs w:val="32"/>
          <w:shd w:val="clear" w:fill="FFFFFF" w:themeFill="background1"/>
          <w:lang w:val="en-US" w:eastAsia="zh-CN"/>
        </w:rPr>
        <w:t>三是</w:t>
      </w:r>
      <w:r>
        <w:rPr>
          <w:rFonts w:hint="eastAsia" w:ascii="仿宋" w:hAnsi="仿宋" w:eastAsia="仿宋" w:cs="仿宋"/>
          <w:snapToGrid/>
          <w:color w:val="auto"/>
          <w:sz w:val="32"/>
          <w:szCs w:val="32"/>
          <w:shd w:val="clear" w:fill="FFFFFF" w:themeFill="background1"/>
          <w:lang w:val="en-US" w:eastAsia="zh-CN"/>
        </w:rPr>
        <w:t>推进信访工作法治化，截至12月底，共接待来访382起521人次，化解率98.8%；来信18起，网上解答80起80人次，处理率100%,满意率100%；完成智慧信访平台交办和自办195件，依法规范办理率100%，做到案件全部办结。</w:t>
      </w:r>
    </w:p>
    <w:p w14:paraId="55E1ADA6">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二、存在的不足和原因</w:t>
      </w:r>
    </w:p>
    <w:p w14:paraId="3B6EB0F9">
      <w:pPr>
        <w:shd w:val="clear" w:color="auto" w:fill="auto"/>
        <w:kinsoku/>
        <w:autoSpaceDE/>
        <w:autoSpaceDN w:val="0"/>
        <w:spacing w:line="432" w:lineRule="auto"/>
        <w:ind w:firstLine="640"/>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w w:val="100"/>
          <w:sz w:val="32"/>
          <w:szCs w:val="32"/>
          <w:lang w:val="en-US" w:eastAsia="zh-CN"/>
        </w:rPr>
        <w:t>2024年度法治政府建设存在一些不足。</w:t>
      </w:r>
      <w:r>
        <w:rPr>
          <w:rFonts w:hint="eastAsia" w:ascii="仿宋" w:hAnsi="仿宋" w:eastAsia="仿宋" w:cs="仿宋"/>
          <w:b/>
          <w:bCs/>
          <w:color w:val="auto"/>
          <w:sz w:val="32"/>
          <w:szCs w:val="32"/>
          <w:shd w:val="clear" w:color="auto" w:fill="FFFFFF"/>
          <w:lang w:val="en-US" w:eastAsia="zh-CN"/>
        </w:rPr>
        <w:t>一是</w:t>
      </w:r>
      <w:r>
        <w:rPr>
          <w:rFonts w:hint="eastAsia" w:ascii="仿宋" w:hAnsi="仿宋" w:eastAsia="仿宋" w:cs="仿宋"/>
          <w:b w:val="0"/>
          <w:bCs w:val="0"/>
          <w:color w:val="auto"/>
          <w:sz w:val="32"/>
          <w:szCs w:val="32"/>
          <w:shd w:val="clear" w:color="auto" w:fill="FFFFFF"/>
          <w:lang w:val="en-US" w:eastAsia="zh-CN"/>
        </w:rPr>
        <w:t>领导干部学法用法意识有待进一步提升。仍存在学习形式不够丰富、学习成效不够明显的问题。</w:t>
      </w:r>
      <w:r>
        <w:rPr>
          <w:rFonts w:hint="eastAsia" w:ascii="仿宋" w:hAnsi="仿宋" w:eastAsia="仿宋" w:cs="仿宋"/>
          <w:b/>
          <w:bCs/>
          <w:color w:val="auto"/>
          <w:sz w:val="32"/>
          <w:szCs w:val="32"/>
          <w:shd w:val="clear" w:color="auto" w:fill="FFFFFF"/>
          <w:lang w:val="en-US" w:eastAsia="zh-CN"/>
        </w:rPr>
        <w:t>二是</w:t>
      </w:r>
      <w:r>
        <w:rPr>
          <w:rFonts w:hint="eastAsia" w:ascii="仿宋" w:hAnsi="仿宋" w:eastAsia="仿宋" w:cs="仿宋"/>
          <w:b w:val="0"/>
          <w:bCs w:val="0"/>
          <w:color w:val="auto"/>
          <w:sz w:val="32"/>
          <w:szCs w:val="32"/>
          <w:shd w:val="clear" w:color="auto" w:fill="FFFFFF"/>
          <w:lang w:val="en-US" w:eastAsia="zh-CN"/>
        </w:rPr>
        <w:t>法治人才力量有待进一步强化。群众法治需求日益多元化，需要更专业的法治服务，但法治人才队伍的数量和能力存在明显短板。</w:t>
      </w:r>
      <w:r>
        <w:rPr>
          <w:rFonts w:hint="eastAsia" w:ascii="仿宋" w:hAnsi="仿宋" w:eastAsia="仿宋" w:cs="仿宋"/>
          <w:b/>
          <w:bCs/>
          <w:color w:val="auto"/>
          <w:sz w:val="32"/>
          <w:szCs w:val="32"/>
          <w:shd w:val="clear" w:color="auto" w:fill="FFFFFF"/>
          <w:lang w:val="en-US" w:eastAsia="zh-CN"/>
        </w:rPr>
        <w:t>三是</w:t>
      </w:r>
      <w:r>
        <w:rPr>
          <w:rFonts w:hint="eastAsia" w:ascii="仿宋" w:hAnsi="仿宋" w:eastAsia="仿宋" w:cs="仿宋"/>
          <w:b w:val="0"/>
          <w:bCs w:val="0"/>
          <w:color w:val="auto"/>
          <w:sz w:val="32"/>
          <w:szCs w:val="32"/>
          <w:shd w:val="clear" w:color="auto" w:fill="FFFFFF"/>
          <w:lang w:val="en-US" w:eastAsia="zh-CN"/>
        </w:rPr>
        <w:t>法治宣传阵地建设有待进一步加强。法治宣传教育形式单一，部分村（社区）尚未建立法治文化示范阵地。</w:t>
      </w:r>
    </w:p>
    <w:p w14:paraId="61530D6F">
      <w:pPr>
        <w:shd w:val="clear" w:color="auto" w:fill="auto"/>
        <w:kinsoku/>
        <w:autoSpaceDE/>
        <w:autoSpaceDN w:val="0"/>
        <w:spacing w:line="432" w:lineRule="auto"/>
        <w:ind w:firstLine="640"/>
        <w:rPr>
          <w:rFonts w:hint="default"/>
          <w:lang w:val="en-US" w:eastAsia="zh-CN"/>
        </w:rPr>
      </w:pPr>
      <w:r>
        <w:rPr>
          <w:rFonts w:hint="eastAsia" w:ascii="仿宋" w:hAnsi="仿宋" w:eastAsia="仿宋" w:cs="仿宋"/>
          <w:b w:val="0"/>
          <w:bCs w:val="0"/>
          <w:color w:val="auto"/>
          <w:sz w:val="32"/>
          <w:szCs w:val="32"/>
          <w:shd w:val="clear" w:color="auto" w:fill="FFFFFF"/>
          <w:lang w:val="en-US" w:eastAsia="zh-CN"/>
        </w:rPr>
        <w:t>主要原因有：</w:t>
      </w:r>
      <w:r>
        <w:rPr>
          <w:rFonts w:hint="eastAsia" w:ascii="仿宋" w:hAnsi="仿宋" w:eastAsia="仿宋" w:cs="仿宋"/>
          <w:b/>
          <w:bCs/>
          <w:color w:val="auto"/>
          <w:sz w:val="32"/>
          <w:szCs w:val="32"/>
          <w:shd w:val="clear" w:color="auto" w:fill="FFFFFF"/>
          <w:lang w:val="en-US" w:eastAsia="zh-CN"/>
        </w:rPr>
        <w:t>一是</w:t>
      </w:r>
      <w:r>
        <w:rPr>
          <w:rFonts w:hint="eastAsia" w:ascii="仿宋" w:hAnsi="仿宋" w:eastAsia="仿宋" w:cs="仿宋"/>
          <w:b w:val="0"/>
          <w:bCs w:val="0"/>
          <w:color w:val="auto"/>
          <w:sz w:val="32"/>
          <w:szCs w:val="32"/>
          <w:shd w:val="clear" w:color="auto" w:fill="FFFFFF"/>
          <w:lang w:val="en-US" w:eastAsia="zh-CN"/>
        </w:rPr>
        <w:t>法治意识淡薄。部分领导干部和工作人员没有充分认识到法治政府建设的重要性，对法律法规的敬畏之心不足。</w:t>
      </w:r>
      <w:r>
        <w:rPr>
          <w:rFonts w:hint="eastAsia" w:ascii="仿宋" w:hAnsi="仿宋" w:eastAsia="仿宋" w:cs="仿宋"/>
          <w:b/>
          <w:bCs/>
          <w:color w:val="auto"/>
          <w:sz w:val="32"/>
          <w:szCs w:val="32"/>
          <w:shd w:val="clear" w:color="auto" w:fill="FFFFFF"/>
          <w:lang w:val="en-US" w:eastAsia="zh-CN"/>
        </w:rPr>
        <w:t>二是</w:t>
      </w:r>
      <w:r>
        <w:rPr>
          <w:rFonts w:hint="eastAsia" w:ascii="仿宋" w:hAnsi="仿宋" w:eastAsia="仿宋" w:cs="仿宋"/>
          <w:b w:val="0"/>
          <w:bCs w:val="0"/>
          <w:color w:val="auto"/>
          <w:sz w:val="32"/>
          <w:szCs w:val="32"/>
          <w:shd w:val="clear" w:color="auto" w:fill="FFFFFF"/>
          <w:lang w:val="en-US" w:eastAsia="zh-CN"/>
        </w:rPr>
        <w:t>法治人才培养体系不完善。街道内部缺乏针对法治人才的长效培养机制，培训内容和方式单一，无法满足工作人员对专业知识和技能提升的需求。</w:t>
      </w:r>
      <w:r>
        <w:rPr>
          <w:rFonts w:hint="eastAsia" w:ascii="仿宋" w:hAnsi="仿宋" w:eastAsia="仿宋" w:cs="仿宋"/>
          <w:b/>
          <w:bCs/>
          <w:color w:val="auto"/>
          <w:sz w:val="32"/>
          <w:szCs w:val="32"/>
          <w:shd w:val="clear" w:color="auto" w:fill="FFFFFF"/>
          <w:lang w:val="en-US" w:eastAsia="zh-CN"/>
        </w:rPr>
        <w:t>三是</w:t>
      </w:r>
      <w:r>
        <w:rPr>
          <w:rFonts w:hint="eastAsia" w:ascii="仿宋" w:hAnsi="仿宋" w:eastAsia="仿宋" w:cs="仿宋"/>
          <w:b w:val="0"/>
          <w:bCs w:val="0"/>
          <w:color w:val="auto"/>
          <w:sz w:val="32"/>
          <w:szCs w:val="32"/>
          <w:shd w:val="clear" w:color="auto" w:fill="FFFFFF"/>
          <w:lang w:val="en-US" w:eastAsia="zh-CN"/>
        </w:rPr>
        <w:t>法治宣传教育工作不够深入，覆盖面不够广，没有形成良好的法治氛围。</w:t>
      </w:r>
    </w:p>
    <w:p w14:paraId="0218FCB8">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三、2025年度推进法治政府建设的主要安排</w:t>
      </w:r>
    </w:p>
    <w:p w14:paraId="0E4C6674">
      <w:pPr>
        <w:shd w:val="clear" w:color="auto" w:fill="auto"/>
        <w:kinsoku/>
        <w:autoSpaceDE/>
        <w:autoSpaceDN w:val="0"/>
        <w:spacing w:line="432" w:lineRule="auto"/>
        <w:ind w:firstLine="640"/>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2025年，汪集街道将以学习贯彻党的二十大精神和习近平法治思想为统领，继续做好法治建设各项工作。</w:t>
      </w:r>
    </w:p>
    <w:p w14:paraId="79F29210">
      <w:pPr>
        <w:shd w:val="clear" w:color="auto" w:fill="auto"/>
        <w:kinsoku/>
        <w:autoSpaceDE/>
        <w:autoSpaceDN w:val="0"/>
        <w:spacing w:line="432" w:lineRule="auto"/>
        <w:ind w:firstLine="640"/>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bCs/>
          <w:color w:val="auto"/>
          <w:sz w:val="32"/>
          <w:szCs w:val="32"/>
          <w:shd w:val="clear" w:color="auto" w:fill="FFFFFF"/>
          <w:lang w:val="en-US" w:eastAsia="zh-CN"/>
        </w:rPr>
        <w:t>一是</w:t>
      </w:r>
      <w:r>
        <w:rPr>
          <w:rFonts w:hint="eastAsia" w:ascii="仿宋" w:hAnsi="仿宋" w:eastAsia="仿宋" w:cs="仿宋"/>
          <w:b w:val="0"/>
          <w:bCs w:val="0"/>
          <w:color w:val="auto"/>
          <w:sz w:val="32"/>
          <w:szCs w:val="32"/>
          <w:shd w:val="clear" w:color="auto" w:fill="FFFFFF"/>
          <w:lang w:val="en-US" w:eastAsia="zh-CN"/>
        </w:rPr>
        <w:t>推动学习贯彻习近平法治思想走深走实。坚持把习近平法治思想作为全民普法首要任务，列入街党工委理论学习中心组学习内容，以“宪法宣传日”等活动为抓手，引领全民普法工作。二</w:t>
      </w:r>
      <w:r>
        <w:rPr>
          <w:rFonts w:hint="eastAsia" w:ascii="仿宋" w:hAnsi="仿宋" w:eastAsia="仿宋" w:cs="仿宋"/>
          <w:b/>
          <w:bCs/>
          <w:color w:val="auto"/>
          <w:sz w:val="32"/>
          <w:szCs w:val="32"/>
          <w:shd w:val="clear" w:color="auto" w:fill="FFFFFF"/>
          <w:lang w:val="en-US" w:eastAsia="zh-CN"/>
        </w:rPr>
        <w:t>是</w:t>
      </w:r>
      <w:r>
        <w:rPr>
          <w:rFonts w:hint="eastAsia" w:ascii="仿宋" w:hAnsi="仿宋" w:eastAsia="仿宋" w:cs="仿宋"/>
          <w:b w:val="0"/>
          <w:bCs w:val="0"/>
          <w:color w:val="auto"/>
          <w:sz w:val="32"/>
          <w:szCs w:val="32"/>
          <w:shd w:val="clear" w:color="auto" w:fill="FFFFFF"/>
          <w:lang w:val="en-US" w:eastAsia="zh-CN"/>
        </w:rPr>
        <w:t>聚焦“八五普法”，开展特色鲜明的普法活动。广泛宣传进入新发展阶段、贯彻新发展理念、构建新发展格局等相关法律法规。围绕防范化解重大风险、乡村振兴、生态环保、优化营商环境、维护社会稳定等工作大局，结合新颁布法律法规实施日、重大纪念日等时间节点，开展各具特色的法治宣传活动；加强经费保障，高标准推进辖区村（社区）开展法治文化阵地建设，进一步提升乡村法治氛围。</w:t>
      </w:r>
      <w:r>
        <w:rPr>
          <w:rFonts w:hint="eastAsia" w:ascii="仿宋" w:hAnsi="仿宋" w:eastAsia="仿宋" w:cs="仿宋"/>
          <w:b/>
          <w:bCs/>
          <w:color w:val="auto"/>
          <w:sz w:val="32"/>
          <w:szCs w:val="32"/>
          <w:shd w:val="clear" w:color="auto" w:fill="FFFFFF"/>
          <w:lang w:val="en-US" w:eastAsia="zh-CN"/>
        </w:rPr>
        <w:t>三是</w:t>
      </w:r>
      <w:r>
        <w:rPr>
          <w:rFonts w:hint="eastAsia" w:ascii="仿宋" w:hAnsi="仿宋" w:eastAsia="仿宋" w:cs="仿宋"/>
          <w:b w:val="0"/>
          <w:bCs w:val="0"/>
          <w:color w:val="auto"/>
          <w:sz w:val="32"/>
          <w:szCs w:val="32"/>
          <w:shd w:val="clear" w:color="auto" w:fill="FFFFFF"/>
          <w:lang w:val="en-US" w:eastAsia="zh-CN"/>
        </w:rPr>
        <w:t>压实主体责任，全面落实“谁执法谁普法”责任制。按照普法责任清单，严格执行“谁执法谁普法”责任制，加强普法责任制检查督导，积极开展以案普法、以案释法、以案讲法。将普法工作纳入绩效考核，完善普法工作与绩效考核的衔接机制，以考核促进普法责任制落实。</w:t>
      </w:r>
      <w:r>
        <w:rPr>
          <w:rFonts w:hint="eastAsia" w:ascii="仿宋" w:hAnsi="仿宋" w:eastAsia="仿宋" w:cs="仿宋"/>
          <w:b/>
          <w:bCs/>
          <w:color w:val="auto"/>
          <w:sz w:val="32"/>
          <w:szCs w:val="32"/>
          <w:shd w:val="clear" w:color="auto" w:fill="FFFFFF"/>
          <w:lang w:val="en-US" w:eastAsia="zh-CN"/>
        </w:rPr>
        <w:t>四是</w:t>
      </w:r>
      <w:r>
        <w:rPr>
          <w:rFonts w:hint="eastAsia" w:ascii="仿宋" w:hAnsi="仿宋" w:eastAsia="仿宋" w:cs="仿宋"/>
          <w:b w:val="0"/>
          <w:bCs w:val="0"/>
          <w:color w:val="auto"/>
          <w:sz w:val="32"/>
          <w:szCs w:val="32"/>
          <w:shd w:val="clear" w:color="auto" w:fill="FFFFFF"/>
          <w:lang w:val="en-US" w:eastAsia="zh-CN"/>
        </w:rPr>
        <w:t>围绕工作大局，持续抓好法律人才培训。针对街道工作中常见的、具有代表性的法律案例，在“法律明白人”培训中进行研讨，通过分析案例事实、法律适用、处理结果等，提高他们运用法律知识解决实际问题的能力，提升“法律明白人”法律素养。</w:t>
      </w:r>
      <w:r>
        <w:rPr>
          <w:rFonts w:hint="eastAsia" w:ascii="仿宋" w:hAnsi="仿宋" w:eastAsia="仿宋" w:cs="仿宋"/>
          <w:b/>
          <w:bCs/>
          <w:color w:val="auto"/>
          <w:sz w:val="32"/>
          <w:szCs w:val="32"/>
          <w:shd w:val="clear" w:color="auto" w:fill="FFFFFF"/>
          <w:lang w:val="en-US" w:eastAsia="zh-CN"/>
        </w:rPr>
        <w:t>五是</w:t>
      </w:r>
      <w:r>
        <w:rPr>
          <w:rFonts w:hint="eastAsia" w:ascii="仿宋" w:hAnsi="仿宋" w:eastAsia="仿宋" w:cs="仿宋"/>
          <w:b w:val="0"/>
          <w:bCs w:val="0"/>
          <w:color w:val="auto"/>
          <w:sz w:val="32"/>
          <w:szCs w:val="32"/>
          <w:shd w:val="clear" w:color="auto" w:fill="FFFFFF"/>
          <w:lang w:val="en-US" w:eastAsia="zh-CN"/>
        </w:rPr>
        <w:t>狠抓重点对象，带动全民法治素养持续提升。加强重点对象法治宣传教育，持续开展矛盾纠纷大排查大走访行动，引导群众办事依法、遇事找法、解决问题用法、化解矛盾靠法。让宪法、民法典等法律知识走到群众身边、走进群众心里，促进全民守法。</w:t>
      </w:r>
    </w:p>
    <w:p w14:paraId="0F0049E0">
      <w:pPr>
        <w:shd w:val="clear" w:color="auto" w:fill="auto"/>
        <w:kinsoku/>
        <w:autoSpaceDE/>
        <w:autoSpaceDN w:val="0"/>
        <w:spacing w:line="432" w:lineRule="auto"/>
        <w:ind w:firstLine="640"/>
        <w:rPr>
          <w:rFonts w:hint="eastAsia" w:ascii="仿宋" w:hAnsi="仿宋" w:eastAsia="仿宋" w:cs="仿宋"/>
          <w:b w:val="0"/>
          <w:bCs w:val="0"/>
          <w:color w:val="auto"/>
          <w:sz w:val="32"/>
          <w:szCs w:val="32"/>
          <w:shd w:val="clear" w:color="auto" w:fill="FFFFFF"/>
          <w:lang w:val="en-US" w:eastAsia="zh-CN"/>
        </w:rPr>
      </w:pPr>
    </w:p>
    <w:p w14:paraId="344584C5">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仿宋" w:hAnsi="仿宋" w:eastAsia="仿宋" w:cs="仿宋"/>
          <w:sz w:val="32"/>
          <w:szCs w:val="32"/>
          <w:lang w:val="en-US" w:eastAsia="zh-CN"/>
        </w:rPr>
      </w:pPr>
    </w:p>
    <w:p w14:paraId="311DF259">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仿宋" w:hAnsi="仿宋" w:eastAsia="仿宋" w:cs="仿宋"/>
          <w:sz w:val="32"/>
          <w:szCs w:val="32"/>
          <w:lang w:val="en-US" w:eastAsia="zh-CN"/>
        </w:rPr>
      </w:pPr>
    </w:p>
    <w:p w14:paraId="5EEF3DE6">
      <w:pPr>
        <w:shd w:val="solid" w:color="FFFFFF" w:fill="auto"/>
        <w:kinsoku/>
        <w:autoSpaceDE/>
        <w:autoSpaceDN w:val="0"/>
        <w:spacing w:line="432" w:lineRule="auto"/>
        <w:ind w:firstLine="2880" w:firstLineChars="9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武汉市新洲区人民政府汪集街道办事处</w:t>
      </w:r>
    </w:p>
    <w:p w14:paraId="5A179E75">
      <w:pPr>
        <w:shd w:val="solid" w:color="FFFFFF" w:fill="auto"/>
        <w:kinsoku/>
        <w:autoSpaceDE/>
        <w:autoSpaceDN w:val="0"/>
        <w:spacing w:line="432" w:lineRule="auto"/>
        <w:ind w:firstLine="4480" w:firstLineChars="1400"/>
        <w:jc w:val="left"/>
        <w:rPr>
          <w:rFonts w:hint="default" w:ascii="CESI仿宋-GB2312" w:hAnsi="CESI仿宋-GB2312" w:eastAsia="CESI仿宋-GB2312" w:cs="CESI仿宋-GB2312"/>
          <w:sz w:val="30"/>
          <w:szCs w:val="30"/>
          <w:lang w:val="en-US" w:eastAsia="zh-CN"/>
        </w:rPr>
      </w:pPr>
      <w:r>
        <w:rPr>
          <w:rFonts w:hint="eastAsia" w:ascii="仿宋" w:hAnsi="仿宋" w:eastAsia="仿宋" w:cs="仿宋"/>
          <w:b w:val="0"/>
          <w:bCs w:val="0"/>
          <w:sz w:val="32"/>
          <w:szCs w:val="32"/>
          <w:lang w:val="en-US" w:eastAsia="zh-CN"/>
        </w:rPr>
        <w:t>2025年1月24日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EE60C"/>
    <w:multiLevelType w:val="singleLevel"/>
    <w:tmpl w:val="EBFEE60C"/>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024B"/>
    <w:rsid w:val="0136557F"/>
    <w:rsid w:val="026E0D49"/>
    <w:rsid w:val="072639A0"/>
    <w:rsid w:val="08D538D0"/>
    <w:rsid w:val="09C41CDB"/>
    <w:rsid w:val="0A2543E3"/>
    <w:rsid w:val="0A5E78F5"/>
    <w:rsid w:val="0C7E427E"/>
    <w:rsid w:val="0CA43CE5"/>
    <w:rsid w:val="0EF624B4"/>
    <w:rsid w:val="0F3B2A91"/>
    <w:rsid w:val="110C3702"/>
    <w:rsid w:val="12787CDD"/>
    <w:rsid w:val="13EC5F71"/>
    <w:rsid w:val="140C2170"/>
    <w:rsid w:val="158A5A42"/>
    <w:rsid w:val="15C56A7A"/>
    <w:rsid w:val="19660047"/>
    <w:rsid w:val="1C503005"/>
    <w:rsid w:val="1EA856AD"/>
    <w:rsid w:val="1F2E5690"/>
    <w:rsid w:val="1F5C21FD"/>
    <w:rsid w:val="1FC3402A"/>
    <w:rsid w:val="223C00C4"/>
    <w:rsid w:val="22703D10"/>
    <w:rsid w:val="255B459D"/>
    <w:rsid w:val="257B14DB"/>
    <w:rsid w:val="259D3570"/>
    <w:rsid w:val="29753FA3"/>
    <w:rsid w:val="2C02412C"/>
    <w:rsid w:val="2CA114E1"/>
    <w:rsid w:val="2DE418D5"/>
    <w:rsid w:val="2DF45CF7"/>
    <w:rsid w:val="31857392"/>
    <w:rsid w:val="34735BC7"/>
    <w:rsid w:val="34C211CF"/>
    <w:rsid w:val="36714388"/>
    <w:rsid w:val="367305F6"/>
    <w:rsid w:val="3814146F"/>
    <w:rsid w:val="3930052B"/>
    <w:rsid w:val="3B464036"/>
    <w:rsid w:val="3C3C0057"/>
    <w:rsid w:val="3F9F3D14"/>
    <w:rsid w:val="42FA5706"/>
    <w:rsid w:val="4473751E"/>
    <w:rsid w:val="472D7E58"/>
    <w:rsid w:val="4B977F95"/>
    <w:rsid w:val="4C5E6D05"/>
    <w:rsid w:val="4CB44B77"/>
    <w:rsid w:val="4DED7C58"/>
    <w:rsid w:val="4E796078"/>
    <w:rsid w:val="4EA824BA"/>
    <w:rsid w:val="52754DA9"/>
    <w:rsid w:val="528F4CFC"/>
    <w:rsid w:val="52E65770"/>
    <w:rsid w:val="5345477B"/>
    <w:rsid w:val="541128AF"/>
    <w:rsid w:val="54C55B73"/>
    <w:rsid w:val="550D3076"/>
    <w:rsid w:val="55106DDC"/>
    <w:rsid w:val="551268DF"/>
    <w:rsid w:val="55313209"/>
    <w:rsid w:val="55653867"/>
    <w:rsid w:val="56BF2829"/>
    <w:rsid w:val="56DA167E"/>
    <w:rsid w:val="5A5654C0"/>
    <w:rsid w:val="5A8C0EE1"/>
    <w:rsid w:val="5AE605F2"/>
    <w:rsid w:val="5B5F03A4"/>
    <w:rsid w:val="5C510707"/>
    <w:rsid w:val="5D1458EA"/>
    <w:rsid w:val="5D266FF4"/>
    <w:rsid w:val="5FF315CB"/>
    <w:rsid w:val="6170330B"/>
    <w:rsid w:val="6309501A"/>
    <w:rsid w:val="64340620"/>
    <w:rsid w:val="66983372"/>
    <w:rsid w:val="66AD150E"/>
    <w:rsid w:val="69763488"/>
    <w:rsid w:val="6D9B170F"/>
    <w:rsid w:val="6DCC0641"/>
    <w:rsid w:val="6E1D0412"/>
    <w:rsid w:val="70C96594"/>
    <w:rsid w:val="70D25448"/>
    <w:rsid w:val="71866233"/>
    <w:rsid w:val="73BA17F0"/>
    <w:rsid w:val="758D4034"/>
    <w:rsid w:val="75BE41ED"/>
    <w:rsid w:val="762A3631"/>
    <w:rsid w:val="76426BCC"/>
    <w:rsid w:val="776E579F"/>
    <w:rsid w:val="77BE69A9"/>
    <w:rsid w:val="7B3F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2825</Words>
  <Characters>2932</Characters>
  <Paragraphs>22</Paragraphs>
  <TotalTime>22</TotalTime>
  <ScaleCrop>false</ScaleCrop>
  <LinksUpToDate>false</LinksUpToDate>
  <CharactersWithSpaces>2952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2022-11-19T11:28:00Z</dcterms:created>
  <dc:creator>ht706</dc:creator>
  <cp:lastModifiedBy>L·R</cp:lastModifiedBy>
  <cp:lastPrinted>2025-01-24T00:40:00Z</cp:lastPrinted>
  <dcterms:modified xsi:type="dcterms:W3CDTF">2025-02-25T06:55:53Z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4F064F7C0AA446A0B5D860F155C4126A_13</vt:lpwstr>
  </property>
  <property fmtid="{D5CDD505-2E9C-101B-9397-08002B2CF9AE}" pid="4" name="KSOTemplateDocerSaveRecord">
    <vt:lpwstr>eyJoZGlkIjoiYzliMzJkNWNjYzFlOWNmMDkxYjFjNGMyODA5MWY3NmEiLCJ1c2VySWQiOiIyNjY2OTE3MTkifQ==</vt:lpwstr>
  </property>
</Properties>
</file>