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4A" w:rsidRPr="00086F2B" w:rsidRDefault="000379FD" w:rsidP="00915377">
      <w:pPr>
        <w:jc w:val="center"/>
        <w:rPr>
          <w:rFonts w:ascii="方正小标宋简体" w:eastAsia="方正小标宋简体" w:hAnsi="黑体" w:hint="eastAsia"/>
          <w:b/>
          <w:bCs/>
          <w:w w:val="90"/>
          <w:sz w:val="44"/>
          <w:szCs w:val="44"/>
        </w:rPr>
      </w:pPr>
      <w:r w:rsidRPr="00086F2B">
        <w:rPr>
          <w:rFonts w:ascii="方正小标宋简体" w:eastAsia="方正小标宋简体" w:hAnsi="黑体" w:hint="eastAsia"/>
          <w:b/>
          <w:bCs/>
          <w:w w:val="90"/>
          <w:sz w:val="44"/>
          <w:szCs w:val="44"/>
        </w:rPr>
        <w:t>《</w:t>
      </w:r>
      <w:r w:rsidR="008B37FB" w:rsidRPr="00086F2B">
        <w:rPr>
          <w:rFonts w:ascii="方正小标宋简体" w:eastAsia="方正小标宋简体" w:hAnsi="黑体" w:hint="eastAsia"/>
          <w:b/>
          <w:bCs/>
          <w:w w:val="90"/>
          <w:sz w:val="44"/>
          <w:szCs w:val="44"/>
        </w:rPr>
        <w:t>武汉市新洲区烟草制品零售点合理布局规划</w:t>
      </w:r>
      <w:r w:rsidRPr="00086F2B">
        <w:rPr>
          <w:rFonts w:ascii="方正小标宋简体" w:eastAsia="方正小标宋简体" w:hAnsi="黑体" w:hint="eastAsia"/>
          <w:b/>
          <w:bCs/>
          <w:w w:val="90"/>
          <w:sz w:val="44"/>
          <w:szCs w:val="44"/>
        </w:rPr>
        <w:t>》</w:t>
      </w:r>
      <w:r w:rsidR="008B37FB" w:rsidRPr="00086F2B">
        <w:rPr>
          <w:rFonts w:ascii="方正小标宋简体" w:eastAsia="方正小标宋简体" w:hAnsi="黑体" w:hint="eastAsia"/>
          <w:b/>
          <w:bCs/>
          <w:w w:val="90"/>
          <w:sz w:val="44"/>
          <w:szCs w:val="44"/>
        </w:rPr>
        <w:t>规范性文件解读</w:t>
      </w:r>
    </w:p>
    <w:p w:rsidR="00D34D4A" w:rsidRDefault="00D34D4A" w:rsidP="00D34D4A">
      <w:pPr>
        <w:ind w:firstLineChars="100" w:firstLine="442"/>
        <w:jc w:val="center"/>
        <w:rPr>
          <w:rFonts w:asciiTheme="minorEastAsia" w:eastAsiaTheme="minorEastAsia" w:hAnsiTheme="minorEastAsia"/>
          <w:b/>
          <w:bCs/>
          <w:sz w:val="44"/>
          <w:szCs w:val="44"/>
        </w:rPr>
      </w:pPr>
    </w:p>
    <w:p w:rsidR="00D34D4A" w:rsidRDefault="00D34D4A" w:rsidP="00D34D4A">
      <w:pPr>
        <w:spacing w:line="276" w:lineRule="auto"/>
        <w:ind w:firstLineChars="200" w:firstLine="640"/>
        <w:rPr>
          <w:rFonts w:asciiTheme="majorEastAsia" w:eastAsiaTheme="majorEastAsia" w:hAnsiTheme="majorEastAsia"/>
          <w:sz w:val="32"/>
          <w:szCs w:val="32"/>
        </w:rPr>
      </w:pPr>
      <w:r>
        <w:rPr>
          <w:rFonts w:ascii="仿宋_GB2312" w:eastAsia="仿宋_GB2312" w:hAnsi="仿宋" w:hint="eastAsia"/>
          <w:sz w:val="32"/>
          <w:szCs w:val="32"/>
        </w:rPr>
        <w:t>现对</w:t>
      </w:r>
      <w:r w:rsidR="007C1368" w:rsidRPr="007C1368">
        <w:rPr>
          <w:rFonts w:ascii="仿宋_GB2312" w:eastAsia="仿宋_GB2312" w:hAnsi="仿宋" w:hint="eastAsia"/>
          <w:sz w:val="32"/>
          <w:szCs w:val="32"/>
        </w:rPr>
        <w:t>《武汉市新洲区烟草制品零售点合理布局规划》</w:t>
      </w:r>
      <w:r>
        <w:rPr>
          <w:rFonts w:ascii="仿宋_GB2312" w:eastAsia="仿宋_GB2312" w:hAnsi="仿宋" w:hint="eastAsia"/>
          <w:sz w:val="32"/>
          <w:szCs w:val="32"/>
        </w:rPr>
        <w:t>（以下简称《</w:t>
      </w:r>
      <w:r w:rsidR="007C1368">
        <w:rPr>
          <w:rFonts w:ascii="仿宋_GB2312" w:eastAsia="仿宋_GB2312" w:hAnsi="仿宋" w:hint="eastAsia"/>
          <w:sz w:val="32"/>
          <w:szCs w:val="32"/>
        </w:rPr>
        <w:t>规划</w:t>
      </w:r>
      <w:r>
        <w:rPr>
          <w:rFonts w:ascii="仿宋_GB2312" w:eastAsia="仿宋_GB2312" w:hAnsi="仿宋" w:hint="eastAsia"/>
          <w:sz w:val="32"/>
          <w:szCs w:val="32"/>
        </w:rPr>
        <w:t>》）</w:t>
      </w:r>
      <w:r w:rsidR="002E02E6">
        <w:rPr>
          <w:rFonts w:ascii="仿宋_GB2312" w:eastAsia="仿宋_GB2312" w:hAnsi="仿宋" w:hint="eastAsia"/>
          <w:sz w:val="32"/>
          <w:szCs w:val="32"/>
        </w:rPr>
        <w:t>起草</w:t>
      </w:r>
      <w:r>
        <w:rPr>
          <w:rFonts w:ascii="仿宋_GB2312" w:eastAsia="仿宋_GB2312" w:hAnsi="仿宋" w:hint="eastAsia"/>
          <w:sz w:val="32"/>
          <w:szCs w:val="32"/>
        </w:rPr>
        <w:t>作以下说明。</w:t>
      </w:r>
    </w:p>
    <w:p w:rsidR="0083123B" w:rsidRPr="0009466F" w:rsidRDefault="00716F50" w:rsidP="00A441D2">
      <w:pPr>
        <w:ind w:firstLineChars="200" w:firstLine="640"/>
        <w:rPr>
          <w:rFonts w:ascii="黑体" w:eastAsia="黑体" w:hAnsi="黑体"/>
          <w:sz w:val="32"/>
          <w:szCs w:val="32"/>
        </w:rPr>
      </w:pPr>
      <w:r>
        <w:rPr>
          <w:rFonts w:ascii="黑体" w:eastAsia="黑体" w:hAnsi="黑体" w:hint="eastAsia"/>
          <w:sz w:val="32"/>
          <w:szCs w:val="32"/>
        </w:rPr>
        <w:t>一</w:t>
      </w:r>
      <w:r w:rsidR="0083123B" w:rsidRPr="0009466F">
        <w:rPr>
          <w:rFonts w:ascii="黑体" w:eastAsia="黑体" w:hAnsi="黑体" w:hint="eastAsia"/>
          <w:sz w:val="32"/>
          <w:szCs w:val="32"/>
        </w:rPr>
        <w:t>、</w:t>
      </w:r>
      <w:r w:rsidR="009E4820" w:rsidRPr="0009466F">
        <w:rPr>
          <w:rFonts w:ascii="黑体" w:eastAsia="黑体" w:hAnsi="黑体" w:hint="eastAsia"/>
          <w:sz w:val="32"/>
          <w:szCs w:val="32"/>
        </w:rPr>
        <w:t>修订工作</w:t>
      </w:r>
      <w:r w:rsidR="0083123B" w:rsidRPr="0009466F">
        <w:rPr>
          <w:rFonts w:ascii="黑体" w:eastAsia="黑体" w:hAnsi="黑体" w:hint="eastAsia"/>
          <w:sz w:val="32"/>
          <w:szCs w:val="32"/>
        </w:rPr>
        <w:t>的法律依据</w:t>
      </w:r>
    </w:p>
    <w:p w:rsidR="0083123B" w:rsidRDefault="0083123B" w:rsidP="00A441D2">
      <w:pPr>
        <w:ind w:firstLineChars="200" w:firstLine="640"/>
        <w:rPr>
          <w:rFonts w:ascii="仿宋_GB2312" w:eastAsia="仿宋_GB2312"/>
          <w:sz w:val="32"/>
          <w:szCs w:val="32"/>
        </w:rPr>
      </w:pPr>
      <w:r w:rsidRPr="00A441D2">
        <w:rPr>
          <w:rFonts w:ascii="仿宋_GB2312" w:eastAsia="仿宋_GB2312" w:hint="eastAsia"/>
          <w:sz w:val="32"/>
          <w:szCs w:val="32"/>
        </w:rPr>
        <w:t>《烟草专卖法实施条例》第九条规定：“取得烟草专卖零售许可证，应当具备下列条件：（1）有与经营烟草制品零售业务相适应的资金；（2）有固定的经营场所；（3）符合烟草制品零售点合理布局的要求；（4）国务院烟草专卖行政主管部门规定的其他条件。”《烟草专卖许可证管理办法》（中华人民共和国工业和信息化部令第37号）第十三条第三项明确指出“申请烟草专卖零售许可证，应当符合当地烟草制品零售点合理布局的要求”。第十五条规定：“制订烟草制品零售点合理布局规定时，应当根据辖区内的人口数量、交通状况、经济发展水平、消费能力等因素，在举行听证后确定零售点的合理布局。烟草制品零售点合理布局规定、经营资金要求和经营场所条件，由县级以上烟草专卖局制定，并报上一级烟草专卖局备案。”</w:t>
      </w:r>
      <w:r w:rsidR="00216C6F" w:rsidRPr="00A441D2">
        <w:rPr>
          <w:rFonts w:ascii="仿宋_GB2312" w:eastAsia="仿宋_GB2312" w:hint="eastAsia"/>
          <w:sz w:val="32"/>
          <w:szCs w:val="32"/>
        </w:rPr>
        <w:t>因此，本次烟草制品零售点合理布局规定的修订主体为区局，完全符合法律要求和实际工作需求。</w:t>
      </w:r>
    </w:p>
    <w:p w:rsidR="00716F50" w:rsidRDefault="00716F50" w:rsidP="00716F50">
      <w:pPr>
        <w:adjustRightInd w:val="0"/>
        <w:snapToGrid w:val="0"/>
        <w:spacing w:line="560" w:lineRule="exact"/>
        <w:ind w:firstLineChars="200" w:firstLine="640"/>
        <w:rPr>
          <w:rFonts w:ascii="黑体" w:eastAsia="黑体" w:hAnsi="宋体"/>
          <w:bCs/>
          <w:sz w:val="32"/>
          <w:szCs w:val="32"/>
        </w:rPr>
      </w:pPr>
      <w:r>
        <w:rPr>
          <w:rFonts w:ascii="黑体" w:eastAsia="黑体" w:hAnsi="宋体" w:hint="eastAsia"/>
          <w:bCs/>
          <w:sz w:val="32"/>
          <w:szCs w:val="32"/>
        </w:rPr>
        <w:lastRenderedPageBreak/>
        <w:t>二、本次修订的规划（草案）主要特点</w:t>
      </w:r>
    </w:p>
    <w:p w:rsidR="00716F50" w:rsidRDefault="00716F50" w:rsidP="00716F5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（一）以地域范围为基础，组合运用距离控制、市场区域单元控制、限制性条件布局模式，科学配置区域内的烟草制品零售点。</w:t>
      </w:r>
    </w:p>
    <w:p w:rsidR="00716F50" w:rsidRDefault="00716F50" w:rsidP="00716F5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（二）根据辖区卷烟、雪茄烟消费市场实际，在烟草制品零售点合理布局规划中分别制定卷烟零售点布局和雪茄烟零售点布局，持续优化烟草零售市场环境。</w:t>
      </w:r>
    </w:p>
    <w:p w:rsidR="00716F50" w:rsidRDefault="00716F50" w:rsidP="00716F5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（三）取消原合理布局规划中不同市场单元类型的数量控制，将市场单元分为一般区域单元和特殊区域单元，分别设定单元内零售点的合理数量范围。</w:t>
      </w:r>
    </w:p>
    <w:p w:rsidR="00716F50" w:rsidRDefault="00716F50" w:rsidP="00716F5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细化特殊群体享受办证优惠的情形，在充分考虑优化政务服务和营商环境的基础上，按照“不受间距限制”、“间距标准上降低50%”、“不受所属市场单元合理布局标准的规划条件和排队轮候要求限制”等类型分别设定。</w:t>
      </w:r>
    </w:p>
    <w:p w:rsidR="00716F50" w:rsidRDefault="00716F50" w:rsidP="00716F50">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（五）明确特殊群体享受办证优惠的认定标准和限制条件，对</w:t>
      </w:r>
      <w:r>
        <w:rPr>
          <w:rFonts w:ascii="仿宋_GB2312" w:eastAsia="仿宋_GB2312" w:hAnsi="宋体" w:hint="eastAsia"/>
          <w:sz w:val="32"/>
          <w:szCs w:val="32"/>
        </w:rPr>
        <w:t>持有《中华人民共和国残疾人证》的残疾人</w:t>
      </w:r>
      <w:r>
        <w:rPr>
          <w:rFonts w:ascii="仿宋_GB2312" w:eastAsia="仿宋_GB2312" w:hAnsi="仿宋" w:hint="eastAsia"/>
          <w:sz w:val="32"/>
          <w:szCs w:val="32"/>
        </w:rPr>
        <w:t>、</w:t>
      </w:r>
      <w:r>
        <w:rPr>
          <w:rFonts w:ascii="仿宋_GB2312" w:eastAsia="仿宋_GB2312" w:hAnsi="宋体" w:hint="eastAsia"/>
          <w:sz w:val="32"/>
          <w:szCs w:val="32"/>
        </w:rPr>
        <w:t>持有《中华人民共和国退役军人优待证》的退役不满三年的退役军人</w:t>
      </w:r>
      <w:r>
        <w:rPr>
          <w:rFonts w:ascii="仿宋_GB2312" w:eastAsia="仿宋_GB2312" w:hAnsi="仿宋" w:hint="eastAsia"/>
          <w:sz w:val="32"/>
          <w:szCs w:val="32"/>
        </w:rPr>
        <w:t>、烈士遗属、因公牺牲军人遗属享受办证优惠时限制实际经营者为本人（合伙经营、雇佣经营不视为本人经营），可由配偶、子女、父母驻店辅助经营，其所持个体工商户营业执照的组成形式应为个人经营，且在全市范围内从未使用优惠政策取得烟草专卖零售许可证。</w:t>
      </w:r>
    </w:p>
    <w:p w:rsidR="00716F50" w:rsidRPr="00716F50" w:rsidRDefault="00716F50" w:rsidP="00716F50">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仿宋" w:hint="eastAsia"/>
          <w:sz w:val="32"/>
          <w:szCs w:val="32"/>
        </w:rPr>
        <w:t>（六）对固定经营场所划分、市场区域划分等进行明确说明，避免引起行政执法争议。</w:t>
      </w:r>
    </w:p>
    <w:p w:rsidR="0083123B" w:rsidRPr="0009466F" w:rsidRDefault="0083123B" w:rsidP="00A441D2">
      <w:pPr>
        <w:ind w:firstLineChars="200" w:firstLine="640"/>
        <w:rPr>
          <w:rFonts w:ascii="黑体" w:eastAsia="黑体" w:hAnsi="黑体"/>
          <w:sz w:val="32"/>
          <w:szCs w:val="32"/>
        </w:rPr>
      </w:pPr>
      <w:r w:rsidRPr="0009466F">
        <w:rPr>
          <w:rFonts w:ascii="黑体" w:eastAsia="黑体" w:hAnsi="黑体" w:hint="eastAsia"/>
          <w:sz w:val="32"/>
          <w:szCs w:val="32"/>
        </w:rPr>
        <w:lastRenderedPageBreak/>
        <w:t>三、本次</w:t>
      </w:r>
      <w:r w:rsidR="00CE7EB2" w:rsidRPr="0009466F">
        <w:rPr>
          <w:rFonts w:ascii="黑体" w:eastAsia="黑体" w:hAnsi="黑体" w:hint="eastAsia"/>
          <w:sz w:val="32"/>
          <w:szCs w:val="32"/>
        </w:rPr>
        <w:t>修订工作</w:t>
      </w:r>
      <w:r w:rsidR="004827DD" w:rsidRPr="0009466F">
        <w:rPr>
          <w:rFonts w:ascii="黑体" w:eastAsia="黑体" w:hAnsi="黑体" w:hint="eastAsia"/>
          <w:sz w:val="32"/>
          <w:szCs w:val="32"/>
        </w:rPr>
        <w:t>的</w:t>
      </w:r>
      <w:r w:rsidR="00B16919" w:rsidRPr="0009466F">
        <w:rPr>
          <w:rFonts w:ascii="黑体" w:eastAsia="黑体" w:hAnsi="黑体" w:hint="eastAsia"/>
          <w:sz w:val="32"/>
          <w:szCs w:val="32"/>
        </w:rPr>
        <w:t>内容</w:t>
      </w:r>
    </w:p>
    <w:p w:rsidR="00F83EB4" w:rsidRDefault="00F83EB4" w:rsidP="00F83EB4">
      <w:pPr>
        <w:snapToGrid w:val="0"/>
        <w:spacing w:line="560" w:lineRule="exact"/>
        <w:ind w:firstLineChars="200" w:firstLine="640"/>
        <w:jc w:val="left"/>
        <w:rPr>
          <w:rStyle w:val="NormalCharacter"/>
          <w:rFonts w:ascii="仿宋_GB2312" w:eastAsia="仿宋_GB2312" w:hAnsi="黑体" w:cstheme="minorBidi"/>
          <w:color w:val="000000"/>
          <w:sz w:val="32"/>
          <w:szCs w:val="32"/>
        </w:rPr>
      </w:pPr>
      <w:r>
        <w:rPr>
          <w:rStyle w:val="NormalCharacter"/>
          <w:rFonts w:ascii="仿宋_GB2312" w:eastAsia="仿宋_GB2312" w:hAnsi="黑体" w:cstheme="minorBidi" w:hint="eastAsia"/>
          <w:color w:val="000000"/>
          <w:sz w:val="32"/>
          <w:szCs w:val="32"/>
        </w:rPr>
        <w:t>（一）新增部分</w:t>
      </w:r>
    </w:p>
    <w:p w:rsidR="00F83EB4" w:rsidRDefault="00F83EB4" w:rsidP="00F83EB4">
      <w:pPr>
        <w:snapToGrid w:val="0"/>
        <w:spacing w:line="560" w:lineRule="exact"/>
        <w:ind w:firstLineChars="200" w:firstLine="640"/>
        <w:jc w:val="left"/>
        <w:rPr>
          <w:rStyle w:val="NormalCharacter"/>
          <w:rFonts w:ascii="仿宋_GB2312" w:eastAsia="仿宋_GB2312" w:hAnsi="宋体"/>
          <w:sz w:val="32"/>
          <w:szCs w:val="32"/>
        </w:rPr>
      </w:pPr>
      <w:r>
        <w:rPr>
          <w:rStyle w:val="NormalCharacter"/>
          <w:rFonts w:ascii="仿宋_GB2312" w:eastAsia="仿宋_GB2312" w:hAnsi="黑体"/>
          <w:color w:val="000000"/>
          <w:sz w:val="32"/>
          <w:szCs w:val="32"/>
        </w:rPr>
        <w:t>1.</w:t>
      </w:r>
      <w:r>
        <w:rPr>
          <w:rStyle w:val="NormalCharacter"/>
          <w:rFonts w:ascii="仿宋_GB2312" w:eastAsia="仿宋_GB2312" w:hAnsi="黑体" w:hint="eastAsia"/>
          <w:color w:val="000000"/>
          <w:sz w:val="32"/>
          <w:szCs w:val="32"/>
        </w:rPr>
        <w:t>在第一章《总则》中增加一条：“</w:t>
      </w:r>
      <w:r>
        <w:rPr>
          <w:rFonts w:ascii="仿宋_GB2312" w:eastAsia="仿宋_GB2312" w:hAnsi="仿宋_GB2312" w:cs="仿宋_GB2312" w:hint="eastAsia"/>
          <w:sz w:val="32"/>
          <w:szCs w:val="32"/>
        </w:rPr>
        <w:t>具有下列情形之一的，不予设置零售点”，按照上位法的要求</w:t>
      </w:r>
      <w:r>
        <w:rPr>
          <w:rFonts w:ascii="仿宋" w:eastAsia="仿宋" w:hAnsi="仿宋" w:cs="仿宋" w:hint="eastAsia"/>
          <w:sz w:val="32"/>
          <w:szCs w:val="32"/>
        </w:rPr>
        <w:t>罗列出的不予发放许可证的法定情形全部纳入到规划中</w:t>
      </w:r>
      <w:r>
        <w:rPr>
          <w:rStyle w:val="NormalCharacter"/>
          <w:rFonts w:ascii="仿宋_GB2312" w:eastAsia="仿宋_GB2312" w:hAnsi="宋体" w:hint="eastAsia"/>
          <w:sz w:val="32"/>
          <w:szCs w:val="32"/>
        </w:rPr>
        <w:t>。</w:t>
      </w:r>
    </w:p>
    <w:p w:rsidR="00F83EB4" w:rsidRDefault="00F83EB4" w:rsidP="00F83EB4">
      <w:pPr>
        <w:snapToGrid w:val="0"/>
        <w:spacing w:line="560" w:lineRule="exact"/>
        <w:ind w:firstLineChars="200" w:firstLine="640"/>
        <w:jc w:val="left"/>
        <w:rPr>
          <w:rFonts w:ascii="仿宋_GB2312" w:eastAsia="仿宋_GB2312" w:hAnsi="宋体"/>
          <w:sz w:val="32"/>
          <w:szCs w:val="32"/>
        </w:rPr>
      </w:pPr>
      <w:r>
        <w:rPr>
          <w:rStyle w:val="NormalCharacter"/>
          <w:rFonts w:ascii="仿宋_GB2312" w:eastAsia="仿宋_GB2312" w:hAnsi="宋体" w:hint="eastAsia"/>
          <w:sz w:val="32"/>
          <w:szCs w:val="32"/>
        </w:rPr>
        <w:t>原因</w:t>
      </w:r>
      <w:r>
        <w:rPr>
          <w:rStyle w:val="NormalCharacter"/>
          <w:rFonts w:ascii="仿宋_GB2312" w:eastAsia="仿宋_GB2312" w:hAnsi="宋体"/>
          <w:sz w:val="32"/>
          <w:szCs w:val="32"/>
        </w:rPr>
        <w:t>：</w:t>
      </w:r>
      <w:r>
        <w:rPr>
          <w:rFonts w:ascii="仿宋_GB2312" w:eastAsia="仿宋_GB2312" w:hAnsi="仿宋_GB2312" w:cs="仿宋_GB2312" w:hint="eastAsia"/>
          <w:sz w:val="32"/>
          <w:szCs w:val="32"/>
        </w:rPr>
        <w:t>增加“</w:t>
      </w:r>
      <w:bookmarkStart w:id="0" w:name="_GoBack"/>
      <w:bookmarkEnd w:id="0"/>
      <w:r>
        <w:rPr>
          <w:rFonts w:ascii="仿宋_GB2312" w:eastAsia="仿宋_GB2312" w:hAnsi="仿宋_GB2312" w:cs="仿宋_GB2312" w:hint="eastAsia"/>
          <w:sz w:val="32"/>
          <w:szCs w:val="32"/>
        </w:rPr>
        <w:t>无民事行为能力人及限制民事行为能力人、“外商投资的商业企业或者个体工商户”等上位法对不予设置零售点的相关规定，保持与上位法一致性</w:t>
      </w:r>
      <w:r>
        <w:rPr>
          <w:rFonts w:ascii="仿宋_GB2312" w:eastAsia="仿宋_GB2312" w:hAnsi="宋体"/>
          <w:sz w:val="32"/>
          <w:szCs w:val="32"/>
        </w:rPr>
        <w:t>。</w:t>
      </w:r>
    </w:p>
    <w:p w:rsidR="00F83EB4" w:rsidRPr="00F83EB4" w:rsidRDefault="00F83EB4" w:rsidP="00F83EB4">
      <w:pPr>
        <w:ind w:firstLineChars="200" w:firstLine="640"/>
        <w:jc w:val="left"/>
        <w:rPr>
          <w:rFonts w:ascii="仿宋_GB2312" w:eastAsia="仿宋_GB2312" w:hAnsi="宋体"/>
          <w:color w:val="000000" w:themeColor="text1"/>
          <w:sz w:val="32"/>
          <w:szCs w:val="32"/>
        </w:rPr>
      </w:pPr>
      <w:r>
        <w:rPr>
          <w:rFonts w:ascii="仿宋_GB2312" w:eastAsia="仿宋_GB2312" w:hAnsi="宋体" w:hint="eastAsia"/>
          <w:sz w:val="32"/>
          <w:szCs w:val="32"/>
        </w:rPr>
        <w:t>2.在</w:t>
      </w:r>
      <w:r>
        <w:rPr>
          <w:rFonts w:ascii="仿宋_GB2312" w:eastAsia="仿宋_GB2312" w:hAnsi="仿宋_GB2312" w:cs="仿宋_GB2312" w:hint="eastAsia"/>
          <w:sz w:val="32"/>
          <w:szCs w:val="32"/>
        </w:rPr>
        <w:t>第二章《卷烟零售点合理布局规划标准》中增加一条：“</w:t>
      </w:r>
      <w:r w:rsidRPr="00093AF6">
        <w:rPr>
          <w:rFonts w:ascii="仿宋_GB2312" w:eastAsia="仿宋_GB2312" w:hAnsi="宋体" w:hint="eastAsia"/>
          <w:color w:val="000000" w:themeColor="text1"/>
          <w:sz w:val="32"/>
          <w:szCs w:val="32"/>
        </w:rPr>
        <w:t>本区卷烟零售点合理布局</w:t>
      </w:r>
      <w:r>
        <w:rPr>
          <w:rFonts w:ascii="仿宋_GB2312" w:eastAsia="仿宋_GB2312" w:hAnsi="宋体" w:hint="eastAsia"/>
          <w:color w:val="000000" w:themeColor="text1"/>
          <w:sz w:val="32"/>
          <w:szCs w:val="32"/>
        </w:rPr>
        <w:t>的</w:t>
      </w:r>
      <w:r w:rsidRPr="00093AF6">
        <w:rPr>
          <w:rFonts w:ascii="仿宋_GB2312" w:eastAsia="仿宋_GB2312" w:hAnsi="宋体" w:hint="eastAsia"/>
          <w:color w:val="000000" w:themeColor="text1"/>
          <w:sz w:val="32"/>
          <w:szCs w:val="32"/>
        </w:rPr>
        <w:t>区域单元按照各烟草管理所管辖区域进行设置。</w:t>
      </w:r>
      <w:r>
        <w:rPr>
          <w:rFonts w:ascii="仿宋_GB2312" w:eastAsia="仿宋_GB2312" w:hAnsi="仿宋_GB2312" w:cs="仿宋_GB2312" w:hint="eastAsia"/>
          <w:sz w:val="32"/>
          <w:szCs w:val="32"/>
        </w:rPr>
        <w:t>”</w:t>
      </w:r>
    </w:p>
    <w:p w:rsidR="00F83EB4" w:rsidRDefault="00F83EB4" w:rsidP="00F83EB4">
      <w:pPr>
        <w:snapToGrid w:val="0"/>
        <w:spacing w:line="560" w:lineRule="exact"/>
        <w:ind w:firstLineChars="200" w:firstLine="640"/>
        <w:jc w:val="left"/>
        <w:rPr>
          <w:rFonts w:ascii="仿宋_GB2312" w:eastAsia="仿宋_GB2312" w:hAnsi="仿宋_GB2312" w:cs="仿宋_GB2312"/>
          <w:sz w:val="32"/>
          <w:szCs w:val="32"/>
        </w:rPr>
      </w:pPr>
      <w:r>
        <w:rPr>
          <w:rStyle w:val="NormalCharacter"/>
          <w:rFonts w:ascii="仿宋_GB2312" w:eastAsia="仿宋_GB2312" w:hAnsi="宋体" w:hint="eastAsia"/>
          <w:sz w:val="32"/>
          <w:szCs w:val="32"/>
        </w:rPr>
        <w:t>原因</w:t>
      </w:r>
      <w:r>
        <w:rPr>
          <w:rStyle w:val="NormalCharacter"/>
          <w:rFonts w:ascii="仿宋_GB2312" w:eastAsia="仿宋_GB2312" w:hAnsi="宋体"/>
          <w:sz w:val="32"/>
          <w:szCs w:val="32"/>
        </w:rPr>
        <w:t>：</w:t>
      </w:r>
      <w:r>
        <w:rPr>
          <w:rFonts w:ascii="仿宋_GB2312" w:eastAsia="仿宋_GB2312" w:hAnsi="仿宋_GB2312" w:cs="仿宋_GB2312" w:hint="eastAsia"/>
          <w:sz w:val="32"/>
          <w:szCs w:val="32"/>
        </w:rPr>
        <w:t>以辖区地域范围为基础，增强本区域内烟草制品零售点配置的科学性。</w:t>
      </w:r>
    </w:p>
    <w:p w:rsidR="00F83EB4" w:rsidRDefault="00F83EB4" w:rsidP="00F83EB4">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宋体" w:hint="eastAsia"/>
          <w:sz w:val="32"/>
          <w:szCs w:val="32"/>
        </w:rPr>
        <w:t>在</w:t>
      </w:r>
      <w:r>
        <w:rPr>
          <w:rFonts w:ascii="仿宋_GB2312" w:eastAsia="仿宋_GB2312" w:hAnsi="仿宋_GB2312" w:cs="仿宋_GB2312" w:hint="eastAsia"/>
          <w:sz w:val="32"/>
          <w:szCs w:val="32"/>
        </w:rPr>
        <w:t>第二章《卷烟零售点合理布局规划标准》“</w:t>
      </w:r>
      <w:r>
        <w:rPr>
          <w:rFonts w:ascii="仿宋_GB2312" w:eastAsia="仿宋_GB2312" w:hAnsi="宋体" w:hint="eastAsia"/>
          <w:sz w:val="32"/>
          <w:szCs w:val="32"/>
        </w:rPr>
        <w:t>不受所属市场单元合理布局标准的规定条件限制</w:t>
      </w:r>
      <w:r>
        <w:rPr>
          <w:rFonts w:ascii="仿宋_GB2312" w:eastAsia="仿宋_GB2312" w:hAnsi="仿宋_GB2312" w:cs="仿宋_GB2312" w:hint="eastAsia"/>
          <w:sz w:val="32"/>
          <w:szCs w:val="32"/>
        </w:rPr>
        <w:t>”条款中增加二项：“</w:t>
      </w:r>
      <w:r>
        <w:rPr>
          <w:rFonts w:ascii="仿宋_GB2312" w:eastAsia="仿宋_GB2312" w:hAnsi="宋体" w:cs="仿宋_GB2312" w:hint="eastAsia"/>
          <w:sz w:val="32"/>
          <w:szCs w:val="31"/>
        </w:rPr>
        <w:t>（四）</w:t>
      </w:r>
      <w:r>
        <w:rPr>
          <w:rFonts w:ascii="仿宋_GB2312" w:eastAsia="仿宋_GB2312" w:hAnsi="宋体" w:hint="eastAsia"/>
          <w:sz w:val="32"/>
          <w:szCs w:val="32"/>
        </w:rPr>
        <w:t>因法人</w:t>
      </w:r>
      <w:r>
        <w:rPr>
          <w:rFonts w:ascii="仿宋_GB2312" w:eastAsia="仿宋_GB2312" w:hAnsi="宋体" w:cs="仿宋_GB2312" w:hint="eastAsia"/>
          <w:sz w:val="32"/>
          <w:szCs w:val="31"/>
        </w:rPr>
        <w:t>或其他组织分立、合并，在原经营场所重新申领许可证的；（五）根据国家相关规定,其他应给予重点扶持的情形</w:t>
      </w:r>
      <w:r>
        <w:rPr>
          <w:rFonts w:ascii="仿宋_GB2312" w:eastAsia="仿宋_GB2312" w:hAnsi="仿宋_GB2312" w:cs="仿宋_GB2312" w:hint="eastAsia"/>
          <w:sz w:val="32"/>
          <w:szCs w:val="32"/>
        </w:rPr>
        <w:t>。”</w:t>
      </w:r>
    </w:p>
    <w:p w:rsidR="00F83EB4" w:rsidRDefault="00F83EB4" w:rsidP="00F83EB4">
      <w:pPr>
        <w:snapToGrid w:val="0"/>
        <w:spacing w:line="560" w:lineRule="exact"/>
        <w:ind w:firstLineChars="200" w:firstLine="640"/>
        <w:jc w:val="left"/>
        <w:rPr>
          <w:rFonts w:ascii="仿宋_GB2312" w:eastAsia="仿宋_GB2312" w:hAnsi="仿宋_GB2312" w:cs="仿宋_GB2312"/>
          <w:sz w:val="32"/>
          <w:szCs w:val="32"/>
        </w:rPr>
      </w:pPr>
      <w:r>
        <w:rPr>
          <w:rStyle w:val="NormalCharacter"/>
          <w:rFonts w:ascii="仿宋_GB2312" w:eastAsia="仿宋_GB2312" w:hAnsi="宋体" w:hint="eastAsia"/>
          <w:sz w:val="32"/>
          <w:szCs w:val="32"/>
        </w:rPr>
        <w:t>原因</w:t>
      </w:r>
      <w:r>
        <w:rPr>
          <w:rStyle w:val="NormalCharacter"/>
          <w:rFonts w:ascii="仿宋_GB2312" w:eastAsia="仿宋_GB2312" w:hAnsi="宋体"/>
          <w:sz w:val="32"/>
          <w:szCs w:val="32"/>
        </w:rPr>
        <w:t>：</w:t>
      </w:r>
      <w:r>
        <w:rPr>
          <w:rStyle w:val="NormalCharacter"/>
          <w:rFonts w:ascii="仿宋_GB2312" w:eastAsia="仿宋_GB2312" w:hAnsi="宋体" w:hint="eastAsia"/>
          <w:sz w:val="32"/>
          <w:szCs w:val="32"/>
        </w:rPr>
        <w:t>增强</w:t>
      </w:r>
      <w:r>
        <w:rPr>
          <w:rFonts w:ascii="仿宋_GB2312" w:eastAsia="仿宋_GB2312" w:hAnsi="仿宋_GB2312" w:cs="仿宋_GB2312" w:hint="eastAsia"/>
          <w:sz w:val="32"/>
          <w:szCs w:val="32"/>
        </w:rPr>
        <w:t>对营商环境的政务服务优化。</w:t>
      </w:r>
    </w:p>
    <w:p w:rsidR="00F83EB4" w:rsidRDefault="00F83EB4" w:rsidP="00F83EB4">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宋体" w:hint="eastAsia"/>
          <w:sz w:val="32"/>
          <w:szCs w:val="32"/>
        </w:rPr>
        <w:t>在</w:t>
      </w:r>
      <w:r>
        <w:rPr>
          <w:rFonts w:ascii="仿宋_GB2312" w:eastAsia="仿宋_GB2312" w:hAnsi="仿宋_GB2312" w:cs="仿宋_GB2312" w:hint="eastAsia"/>
          <w:sz w:val="32"/>
          <w:szCs w:val="32"/>
        </w:rPr>
        <w:t>第二章《卷烟零售点合理布局规划标准》中增加一条：</w:t>
      </w:r>
      <w:r>
        <w:rPr>
          <w:rFonts w:ascii="仿宋_GB2312" w:eastAsia="仿宋_GB2312" w:hAnsi="宋体" w:cs="仿宋_GB2312" w:hint="eastAsia"/>
          <w:sz w:val="32"/>
          <w:szCs w:val="31"/>
        </w:rPr>
        <w:t>申请人属本规划第十一条第</w:t>
      </w:r>
      <w:r w:rsidR="00C7552E" w:rsidRPr="00FB0742">
        <w:rPr>
          <w:rFonts w:ascii="仿宋_GB2312" w:eastAsia="仿宋_GB2312" w:hAnsi="宋体" w:hint="eastAsia"/>
          <w:color w:val="000000" w:themeColor="text1"/>
          <w:sz w:val="32"/>
          <w:szCs w:val="32"/>
        </w:rPr>
        <w:t>（一）</w:t>
      </w:r>
      <w:r>
        <w:rPr>
          <w:rFonts w:ascii="仿宋_GB2312" w:eastAsia="仿宋_GB2312" w:hAnsi="宋体" w:cs="仿宋_GB2312" w:hint="eastAsia"/>
          <w:sz w:val="32"/>
          <w:szCs w:val="31"/>
        </w:rPr>
        <w:t>、</w:t>
      </w:r>
      <w:r w:rsidR="00C7552E" w:rsidRPr="00FB0742">
        <w:rPr>
          <w:rFonts w:ascii="仿宋_GB2312" w:eastAsia="仿宋_GB2312" w:hAnsi="宋体" w:hint="eastAsia"/>
          <w:color w:val="000000" w:themeColor="text1"/>
          <w:sz w:val="32"/>
          <w:szCs w:val="32"/>
        </w:rPr>
        <w:t>（二）</w:t>
      </w:r>
      <w:r>
        <w:rPr>
          <w:rFonts w:ascii="仿宋_GB2312" w:eastAsia="仿宋_GB2312" w:hAnsi="宋体" w:cs="仿宋_GB2312" w:hint="eastAsia"/>
          <w:sz w:val="32"/>
          <w:szCs w:val="31"/>
        </w:rPr>
        <w:t>项，第十三条第</w:t>
      </w:r>
      <w:r w:rsidR="00C7552E" w:rsidRPr="00FB0742">
        <w:rPr>
          <w:rFonts w:ascii="仿宋_GB2312" w:eastAsia="仿宋_GB2312" w:hAnsi="宋体" w:hint="eastAsia"/>
          <w:color w:val="000000" w:themeColor="text1"/>
          <w:sz w:val="32"/>
          <w:szCs w:val="32"/>
        </w:rPr>
        <w:t>（一）</w:t>
      </w:r>
      <w:r w:rsidR="00C7552E">
        <w:rPr>
          <w:rFonts w:ascii="仿宋_GB2312" w:eastAsia="仿宋_GB2312" w:hAnsi="宋体" w:cs="仿宋_GB2312" w:hint="eastAsia"/>
          <w:sz w:val="32"/>
          <w:szCs w:val="31"/>
        </w:rPr>
        <w:t>、</w:t>
      </w:r>
      <w:r w:rsidR="00C7552E" w:rsidRPr="00FB0742">
        <w:rPr>
          <w:rFonts w:ascii="仿宋_GB2312" w:eastAsia="仿宋_GB2312" w:hAnsi="宋体" w:hint="eastAsia"/>
          <w:color w:val="000000" w:themeColor="text1"/>
          <w:sz w:val="32"/>
          <w:szCs w:val="32"/>
        </w:rPr>
        <w:t>（二）</w:t>
      </w:r>
      <w:r>
        <w:rPr>
          <w:rFonts w:ascii="仿宋_GB2312" w:eastAsia="仿宋_GB2312" w:hAnsi="宋体" w:cs="仿宋_GB2312" w:hint="eastAsia"/>
          <w:sz w:val="32"/>
          <w:szCs w:val="31"/>
        </w:rPr>
        <w:t>项情形的，</w:t>
      </w:r>
      <w:r>
        <w:rPr>
          <w:rFonts w:ascii="仿宋_GB2312" w:eastAsia="仿宋_GB2312" w:hAnsi="仿宋_GB2312" w:cs="仿宋_GB2312" w:hint="eastAsia"/>
          <w:sz w:val="32"/>
          <w:szCs w:val="32"/>
        </w:rPr>
        <w:t>实际经营者应为本人（合伙经营、雇佣经营不视为本人经营），可由配偶、子女、父母驻店辅助经营，其所持个体工商户营业执照的组成形式应为个人经</w:t>
      </w:r>
      <w:r>
        <w:rPr>
          <w:rFonts w:ascii="仿宋_GB2312" w:eastAsia="仿宋_GB2312" w:hAnsi="仿宋_GB2312" w:cs="仿宋_GB2312" w:hint="eastAsia"/>
          <w:sz w:val="32"/>
          <w:szCs w:val="32"/>
        </w:rPr>
        <w:lastRenderedPageBreak/>
        <w:t>营，且在全市范围内从未使用优惠政策取得烟草专卖零售许可证。</w:t>
      </w:r>
    </w:p>
    <w:p w:rsidR="00F83EB4" w:rsidRDefault="00F83EB4" w:rsidP="00F83EB4">
      <w:pPr>
        <w:snapToGrid w:val="0"/>
        <w:spacing w:line="560" w:lineRule="exact"/>
        <w:ind w:firstLineChars="200" w:firstLine="640"/>
        <w:jc w:val="left"/>
        <w:rPr>
          <w:rFonts w:ascii="仿宋_GB2312" w:eastAsia="仿宋_GB2312" w:hAnsi="仿宋_GB2312" w:cs="仿宋_GB2312"/>
          <w:sz w:val="32"/>
          <w:szCs w:val="32"/>
        </w:rPr>
      </w:pPr>
      <w:r>
        <w:rPr>
          <w:rStyle w:val="NormalCharacter"/>
          <w:rFonts w:ascii="仿宋_GB2312" w:eastAsia="仿宋_GB2312" w:hAnsi="宋体" w:hint="eastAsia"/>
          <w:sz w:val="32"/>
          <w:szCs w:val="32"/>
        </w:rPr>
        <w:t>原因</w:t>
      </w:r>
      <w:r>
        <w:rPr>
          <w:rStyle w:val="NormalCharacter"/>
          <w:rFonts w:ascii="仿宋_GB2312" w:eastAsia="仿宋_GB2312" w:hAnsi="宋体"/>
          <w:sz w:val="32"/>
          <w:szCs w:val="32"/>
        </w:rPr>
        <w:t>：</w:t>
      </w:r>
      <w:r>
        <w:rPr>
          <w:rFonts w:ascii="仿宋_GB2312" w:eastAsia="仿宋_GB2312" w:hAnsi="仿宋_GB2312" w:cs="仿宋_GB2312" w:hint="eastAsia"/>
          <w:sz w:val="32"/>
          <w:szCs w:val="32"/>
        </w:rPr>
        <w:t>明确特殊群体享受办证优惠的认定标准和限制条件，对冒用社会弱势群体、优抚对象申领许可证的违法违规行为进行约束。</w:t>
      </w:r>
    </w:p>
    <w:p w:rsidR="00F83EB4" w:rsidRDefault="00F83EB4" w:rsidP="00F83EB4">
      <w:pPr>
        <w:snapToGrid w:val="0"/>
        <w:spacing w:line="560" w:lineRule="exact"/>
        <w:ind w:firstLineChars="200" w:firstLine="640"/>
        <w:jc w:val="left"/>
        <w:rPr>
          <w:rStyle w:val="NormalCharacter"/>
          <w:rFonts w:ascii="仿宋_GB2312" w:eastAsia="仿宋_GB2312" w:hAnsi="宋体"/>
          <w:sz w:val="32"/>
          <w:szCs w:val="32"/>
        </w:rPr>
      </w:pPr>
      <w:r>
        <w:rPr>
          <w:rStyle w:val="NormalCharacter"/>
          <w:rFonts w:ascii="仿宋_GB2312" w:eastAsia="仿宋_GB2312" w:hAnsi="宋体" w:hint="eastAsia"/>
          <w:sz w:val="32"/>
          <w:szCs w:val="32"/>
        </w:rPr>
        <w:t>5</w:t>
      </w:r>
      <w:r>
        <w:rPr>
          <w:rStyle w:val="NormalCharacter"/>
          <w:rFonts w:ascii="仿宋_GB2312" w:eastAsia="仿宋_GB2312" w:hAnsi="宋体"/>
          <w:sz w:val="32"/>
          <w:szCs w:val="32"/>
        </w:rPr>
        <w:t>.</w:t>
      </w:r>
      <w:r>
        <w:rPr>
          <w:rStyle w:val="NormalCharacter"/>
          <w:rFonts w:ascii="仿宋_GB2312" w:eastAsia="仿宋_GB2312" w:hAnsi="宋体" w:hint="eastAsia"/>
          <w:sz w:val="32"/>
          <w:szCs w:val="32"/>
        </w:rPr>
        <w:t>增加</w:t>
      </w:r>
      <w:r>
        <w:rPr>
          <w:rStyle w:val="NormalCharacter"/>
          <w:rFonts w:ascii="仿宋_GB2312" w:eastAsia="仿宋_GB2312" w:hAnsi="黑体" w:hint="eastAsia"/>
          <w:sz w:val="32"/>
          <w:szCs w:val="32"/>
        </w:rPr>
        <w:t>第三章</w:t>
      </w:r>
      <w:r>
        <w:rPr>
          <w:rFonts w:ascii="仿宋_GB2312" w:eastAsia="仿宋_GB2312" w:hAnsi="仿宋_GB2312" w:cs="仿宋_GB2312" w:hint="eastAsia"/>
          <w:sz w:val="32"/>
          <w:szCs w:val="32"/>
        </w:rPr>
        <w:t>《雪茄烟专营零售点合理布局规划标准》：明确</w:t>
      </w:r>
      <w:r>
        <w:rPr>
          <w:rFonts w:ascii="仿宋_GB2312" w:eastAsia="仿宋_GB2312" w:hint="eastAsia"/>
          <w:sz w:val="32"/>
          <w:szCs w:val="32"/>
        </w:rPr>
        <w:t>雪茄烟专营零售点定义、许可范围，布局标准采取数量控制模式等。</w:t>
      </w:r>
    </w:p>
    <w:p w:rsidR="00F83EB4" w:rsidRDefault="00F83EB4" w:rsidP="00F83EB4">
      <w:pPr>
        <w:snapToGrid w:val="0"/>
        <w:spacing w:line="560" w:lineRule="exact"/>
        <w:ind w:firstLine="640"/>
        <w:rPr>
          <w:rStyle w:val="NormalCharacter"/>
          <w:rFonts w:ascii="仿宋" w:eastAsia="仿宋" w:hAnsi="仿宋" w:cs="仿宋"/>
          <w:sz w:val="32"/>
          <w:szCs w:val="32"/>
        </w:rPr>
      </w:pPr>
      <w:r>
        <w:rPr>
          <w:rStyle w:val="NormalCharacter"/>
          <w:rFonts w:ascii="仿宋" w:eastAsia="仿宋" w:hAnsi="仿宋" w:cs="仿宋" w:hint="eastAsia"/>
          <w:sz w:val="32"/>
          <w:szCs w:val="32"/>
        </w:rPr>
        <w:t>原因</w:t>
      </w:r>
      <w:r>
        <w:rPr>
          <w:rStyle w:val="NormalCharacter"/>
          <w:rFonts w:ascii="仿宋" w:eastAsia="仿宋" w:hAnsi="仿宋" w:cs="仿宋"/>
          <w:sz w:val="32"/>
          <w:szCs w:val="32"/>
        </w:rPr>
        <w:t>：</w:t>
      </w:r>
      <w:r>
        <w:rPr>
          <w:rFonts w:ascii="仿宋_GB2312" w:eastAsia="仿宋_GB2312" w:hAnsi="仿宋_GB2312" w:cs="仿宋_GB2312" w:hint="eastAsia"/>
          <w:sz w:val="32"/>
          <w:szCs w:val="32"/>
        </w:rPr>
        <w:t>根据辖区雪茄烟消费市场实际，在烟草制品零售点合理布局规划中分别制定卷烟零售点布局和雪茄烟专营零售点布局，持续优化烟草零售市场环境。</w:t>
      </w:r>
    </w:p>
    <w:p w:rsidR="00F83EB4" w:rsidRDefault="00F83EB4" w:rsidP="00F83EB4">
      <w:pPr>
        <w:adjustRightInd w:val="0"/>
        <w:snapToGrid w:val="0"/>
        <w:spacing w:line="578" w:lineRule="exact"/>
        <w:ind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6</w:t>
      </w:r>
      <w:r>
        <w:rPr>
          <w:rStyle w:val="NormalCharacter"/>
          <w:rFonts w:ascii="仿宋_GB2312" w:eastAsia="仿宋_GB2312" w:hAnsi="宋体"/>
          <w:sz w:val="32"/>
          <w:szCs w:val="32"/>
        </w:rPr>
        <w:t>.</w:t>
      </w:r>
      <w:r>
        <w:rPr>
          <w:rStyle w:val="NormalCharacter"/>
          <w:rFonts w:ascii="仿宋_GB2312" w:eastAsia="仿宋_GB2312" w:hAnsi="宋体" w:hint="eastAsia"/>
          <w:sz w:val="32"/>
          <w:szCs w:val="32"/>
        </w:rPr>
        <w:t>在第四章《附则》中新增一条：“</w:t>
      </w:r>
      <w:r>
        <w:rPr>
          <w:rFonts w:ascii="仿宋_GB2312" w:eastAsia="仿宋_GB2312" w:hAnsi="宋体" w:hint="eastAsia"/>
          <w:sz w:val="32"/>
          <w:szCs w:val="32"/>
        </w:rPr>
        <w:t>本规划所称的‘与住所相独立的固定经营场所’中‘经营场所’是指从事烟草制品销售、交易、储存的地方，外部有醒目的经营店招，便于公众识别，且已形成实际商品展卖，并设置有专门用于烟草制品展卖的设施。‘独立的’是指经营场所与居住场所两者在物理空间上的相互分离，不能出现可相互通行的情况</w:t>
      </w:r>
      <w:r>
        <w:rPr>
          <w:rStyle w:val="NormalCharacter"/>
          <w:rFonts w:ascii="仿宋_GB2312" w:eastAsia="仿宋_GB2312" w:hAnsi="宋体" w:cstheme="minorBidi" w:hint="eastAsia"/>
          <w:sz w:val="32"/>
          <w:szCs w:val="32"/>
        </w:rPr>
        <w:t>”。</w:t>
      </w:r>
    </w:p>
    <w:p w:rsidR="00F83EB4" w:rsidRDefault="00F83EB4" w:rsidP="00F83EB4">
      <w:pPr>
        <w:snapToGrid w:val="0"/>
        <w:spacing w:line="560" w:lineRule="exact"/>
        <w:ind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原因</w:t>
      </w:r>
      <w:r>
        <w:rPr>
          <w:rStyle w:val="NormalCharacter"/>
          <w:rFonts w:ascii="仿宋_GB2312" w:eastAsia="仿宋_GB2312" w:hAnsi="宋体"/>
          <w:sz w:val="32"/>
          <w:szCs w:val="32"/>
        </w:rPr>
        <w:t>：</w:t>
      </w:r>
      <w:r>
        <w:rPr>
          <w:rFonts w:ascii="仿宋_GB2312" w:eastAsia="仿宋_GB2312" w:hAnsi="仿宋_GB2312" w:cs="仿宋_GB2312" w:hint="eastAsia"/>
          <w:sz w:val="32"/>
          <w:szCs w:val="32"/>
        </w:rPr>
        <w:t>明确固定经营场所划分，避免引起行政执法争议</w:t>
      </w:r>
      <w:r>
        <w:rPr>
          <w:rStyle w:val="NormalCharacter"/>
          <w:rFonts w:ascii="仿宋_GB2312" w:eastAsia="仿宋_GB2312" w:hAnsi="宋体"/>
          <w:sz w:val="32"/>
          <w:szCs w:val="32"/>
        </w:rPr>
        <w:t>。</w:t>
      </w:r>
    </w:p>
    <w:p w:rsidR="00F83EB4" w:rsidRDefault="00F83EB4" w:rsidP="00F83EB4">
      <w:pPr>
        <w:snapToGrid w:val="0"/>
        <w:spacing w:line="560" w:lineRule="exact"/>
        <w:ind w:firstLineChars="200" w:firstLine="643"/>
        <w:jc w:val="left"/>
        <w:rPr>
          <w:rStyle w:val="NormalCharacter"/>
          <w:rFonts w:ascii="仿宋" w:eastAsia="仿宋" w:hAnsi="仿宋" w:cs="仿宋"/>
          <w:b/>
          <w:bCs/>
          <w:sz w:val="32"/>
          <w:szCs w:val="32"/>
        </w:rPr>
      </w:pPr>
      <w:r>
        <w:rPr>
          <w:rStyle w:val="NormalCharacter"/>
          <w:rFonts w:ascii="仿宋" w:eastAsia="仿宋" w:hAnsi="仿宋" w:cs="仿宋" w:hint="eastAsia"/>
          <w:b/>
          <w:bCs/>
          <w:sz w:val="32"/>
          <w:szCs w:val="32"/>
        </w:rPr>
        <w:t>（二）调整部分</w:t>
      </w:r>
    </w:p>
    <w:p w:rsidR="00F83EB4" w:rsidRDefault="00F83EB4" w:rsidP="00F83EB4">
      <w:pPr>
        <w:snapToGrid w:val="0"/>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sz w:val="32"/>
          <w:szCs w:val="32"/>
        </w:rPr>
        <w:t>1.</w:t>
      </w:r>
      <w:r>
        <w:rPr>
          <w:rStyle w:val="NormalCharacter"/>
          <w:rFonts w:ascii="仿宋_GB2312" w:eastAsia="仿宋_GB2312" w:hAnsi="宋体" w:hint="eastAsia"/>
          <w:sz w:val="32"/>
          <w:szCs w:val="32"/>
        </w:rPr>
        <w:t>对第二章《合理布局规划标准》作如下修改：</w:t>
      </w:r>
    </w:p>
    <w:p w:rsidR="00F83EB4" w:rsidRDefault="00F83EB4" w:rsidP="00F83EB4">
      <w:pPr>
        <w:snapToGrid w:val="0"/>
        <w:spacing w:line="560" w:lineRule="exact"/>
        <w:ind w:firstLine="640"/>
        <w:rPr>
          <w:rStyle w:val="NormalCharacter"/>
          <w:rFonts w:ascii="仿宋_GB2312" w:eastAsia="仿宋_GB2312" w:hAnsi="宋体" w:cstheme="minorBidi"/>
          <w:sz w:val="32"/>
          <w:szCs w:val="32"/>
        </w:rPr>
      </w:pPr>
      <w:r>
        <w:rPr>
          <w:rStyle w:val="NormalCharacter"/>
          <w:rFonts w:ascii="仿宋_GB2312" w:eastAsia="仿宋_GB2312" w:hAnsi="宋体" w:hint="eastAsia"/>
          <w:sz w:val="32"/>
          <w:szCs w:val="32"/>
        </w:rPr>
        <w:t>修改为</w:t>
      </w:r>
      <w:r>
        <w:rPr>
          <w:rStyle w:val="NormalCharacter"/>
          <w:rFonts w:ascii="仿宋_GB2312" w:eastAsia="仿宋_GB2312" w:hAnsi="宋体" w:cstheme="minorBidi" w:hint="eastAsia"/>
          <w:sz w:val="32"/>
          <w:szCs w:val="32"/>
        </w:rPr>
        <w:t>《卷烟零售点合理布局规划标准》</w:t>
      </w:r>
    </w:p>
    <w:p w:rsidR="00F83EB4" w:rsidRDefault="00F83EB4" w:rsidP="00F83EB4">
      <w:pPr>
        <w:snapToGrid w:val="0"/>
        <w:spacing w:line="560" w:lineRule="exact"/>
        <w:ind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原因</w:t>
      </w:r>
      <w:r>
        <w:rPr>
          <w:rStyle w:val="NormalCharacter"/>
          <w:rFonts w:ascii="仿宋_GB2312" w:eastAsia="仿宋_GB2312" w:hAnsi="宋体"/>
          <w:sz w:val="32"/>
          <w:szCs w:val="32"/>
        </w:rPr>
        <w:t>：</w:t>
      </w:r>
      <w:r>
        <w:rPr>
          <w:rStyle w:val="NormalCharacter"/>
          <w:rFonts w:ascii="仿宋_GB2312" w:eastAsia="仿宋_GB2312" w:hAnsi="宋体" w:hint="eastAsia"/>
          <w:sz w:val="32"/>
          <w:szCs w:val="32"/>
        </w:rPr>
        <w:t>市局《</w:t>
      </w:r>
      <w:r>
        <w:rPr>
          <w:rStyle w:val="NormalCharacter"/>
          <w:rFonts w:ascii="仿宋_GB2312" w:eastAsia="仿宋_GB2312" w:hAnsi="宋体"/>
          <w:sz w:val="32"/>
          <w:szCs w:val="32"/>
        </w:rPr>
        <w:t>关于优化调整全市烟草制品零售</w:t>
      </w:r>
      <w:r>
        <w:rPr>
          <w:rStyle w:val="NormalCharacter"/>
          <w:rFonts w:ascii="仿宋_GB2312" w:eastAsia="仿宋_GB2312" w:hAnsi="宋体" w:cstheme="minorBidi"/>
          <w:sz w:val="32"/>
          <w:szCs w:val="32"/>
        </w:rPr>
        <w:t>点</w:t>
      </w:r>
      <w:r>
        <w:rPr>
          <w:rStyle w:val="NormalCharacter"/>
          <w:rFonts w:ascii="仿宋_GB2312" w:eastAsia="仿宋_GB2312" w:hAnsi="宋体" w:cstheme="minorBidi" w:hint="eastAsia"/>
          <w:sz w:val="32"/>
          <w:szCs w:val="32"/>
        </w:rPr>
        <w:t>合理布局规划及市场单元容量的实施意见》明确要求在烟草制品零售点合理布局规划中分别制定卷烟零售点布局和雪茄烟零</w:t>
      </w:r>
      <w:r>
        <w:rPr>
          <w:rStyle w:val="NormalCharacter"/>
          <w:rFonts w:ascii="仿宋_GB2312" w:eastAsia="仿宋_GB2312" w:hAnsi="宋体" w:cstheme="minorBidi" w:hint="eastAsia"/>
          <w:sz w:val="32"/>
          <w:szCs w:val="32"/>
        </w:rPr>
        <w:lastRenderedPageBreak/>
        <w:t>售点布局</w:t>
      </w:r>
      <w:r>
        <w:rPr>
          <w:rStyle w:val="NormalCharacter"/>
          <w:rFonts w:ascii="仿宋_GB2312" w:eastAsia="仿宋_GB2312" w:hAnsi="宋体" w:cstheme="minorBidi"/>
          <w:sz w:val="32"/>
          <w:szCs w:val="32"/>
        </w:rPr>
        <w:t>。</w:t>
      </w:r>
    </w:p>
    <w:p w:rsidR="00F83EB4" w:rsidRDefault="00F83EB4" w:rsidP="00F83EB4">
      <w:pPr>
        <w:snapToGrid w:val="0"/>
        <w:spacing w:line="560" w:lineRule="exact"/>
        <w:ind w:firstLine="640"/>
        <w:rPr>
          <w:rStyle w:val="NormalCharacter"/>
          <w:rFonts w:ascii="仿宋_GB2312" w:eastAsia="仿宋_GB2312" w:hAnsi="宋体"/>
          <w:sz w:val="32"/>
          <w:szCs w:val="32"/>
        </w:rPr>
      </w:pPr>
      <w:r>
        <w:rPr>
          <w:rStyle w:val="NormalCharacter"/>
          <w:rFonts w:ascii="仿宋_GB2312" w:eastAsia="仿宋_GB2312" w:hAnsi="宋体"/>
          <w:sz w:val="32"/>
          <w:szCs w:val="32"/>
        </w:rPr>
        <w:t>2.</w:t>
      </w:r>
      <w:r>
        <w:rPr>
          <w:rStyle w:val="NormalCharacter"/>
          <w:rFonts w:ascii="仿宋_GB2312" w:eastAsia="仿宋_GB2312" w:hAnsi="宋体" w:hint="eastAsia"/>
          <w:sz w:val="32"/>
          <w:szCs w:val="32"/>
        </w:rPr>
        <w:t>对第二章《</w:t>
      </w:r>
      <w:r>
        <w:rPr>
          <w:rStyle w:val="NormalCharacter"/>
          <w:rFonts w:ascii="仿宋_GB2312" w:eastAsia="仿宋_GB2312" w:hAnsi="宋体" w:cstheme="minorBidi" w:hint="eastAsia"/>
          <w:sz w:val="32"/>
          <w:szCs w:val="32"/>
        </w:rPr>
        <w:t>卷烟零售点合理布局规划标准</w:t>
      </w:r>
      <w:r>
        <w:rPr>
          <w:rStyle w:val="NormalCharacter"/>
          <w:rFonts w:ascii="仿宋_GB2312" w:eastAsia="仿宋_GB2312" w:hAnsi="宋体" w:hint="eastAsia"/>
          <w:sz w:val="32"/>
          <w:szCs w:val="32"/>
        </w:rPr>
        <w:t>》中“</w:t>
      </w:r>
      <w:r>
        <w:rPr>
          <w:rFonts w:ascii="仿宋_GB2312" w:eastAsia="仿宋_GB2312" w:hAnsi="宋体" w:hint="eastAsia"/>
          <w:sz w:val="32"/>
          <w:szCs w:val="32"/>
        </w:rPr>
        <w:t>本区烟草制品零售点布局以街道、社区作为基础，划分出最小市场单元，并按区域功能对最小市场单元进行分类，不同类型市场单元合理布局标准不同，具体分为：住宅区、集贸市场、商业综合体、公共（轨道）交通区域、文化体育场馆、高等院校、施工工地、物流园、工业园九类。</w:t>
      </w:r>
      <w:r>
        <w:rPr>
          <w:rStyle w:val="NormalCharacter"/>
          <w:rFonts w:ascii="仿宋_GB2312" w:eastAsia="仿宋_GB2312" w:hAnsi="宋体" w:hint="eastAsia"/>
          <w:sz w:val="32"/>
          <w:szCs w:val="32"/>
        </w:rPr>
        <w:t>”条款作如下修改：</w:t>
      </w:r>
    </w:p>
    <w:p w:rsidR="00F83EB4" w:rsidRPr="00093AF6" w:rsidRDefault="00F83EB4" w:rsidP="00F83EB4">
      <w:pPr>
        <w:ind w:firstLineChars="200" w:firstLine="640"/>
        <w:jc w:val="left"/>
        <w:rPr>
          <w:rFonts w:ascii="仿宋_GB2312" w:eastAsia="仿宋_GB2312" w:hAnsi="宋体"/>
          <w:color w:val="000000" w:themeColor="text1"/>
          <w:sz w:val="32"/>
          <w:szCs w:val="32"/>
        </w:rPr>
      </w:pPr>
      <w:r w:rsidRPr="00093AF6">
        <w:rPr>
          <w:rFonts w:ascii="仿宋_GB2312" w:eastAsia="仿宋_GB2312" w:hAnsi="宋体" w:hint="eastAsia"/>
          <w:color w:val="000000" w:themeColor="text1"/>
          <w:sz w:val="32"/>
          <w:szCs w:val="32"/>
        </w:rPr>
        <w:t>本区卷烟零售点合理布局</w:t>
      </w:r>
      <w:r>
        <w:rPr>
          <w:rFonts w:ascii="仿宋_GB2312" w:eastAsia="仿宋_GB2312" w:hAnsi="宋体" w:hint="eastAsia"/>
          <w:color w:val="000000" w:themeColor="text1"/>
          <w:sz w:val="32"/>
          <w:szCs w:val="32"/>
        </w:rPr>
        <w:t>的</w:t>
      </w:r>
      <w:r w:rsidRPr="00093AF6">
        <w:rPr>
          <w:rFonts w:ascii="仿宋_GB2312" w:eastAsia="仿宋_GB2312" w:hAnsi="宋体" w:hint="eastAsia"/>
          <w:color w:val="000000" w:themeColor="text1"/>
          <w:sz w:val="32"/>
          <w:szCs w:val="32"/>
        </w:rPr>
        <w:t>区域单元按照各烟草管理所管辖区域进行设置。</w:t>
      </w:r>
    </w:p>
    <w:p w:rsidR="00F83EB4" w:rsidRPr="00093AF6" w:rsidRDefault="00F83EB4" w:rsidP="00F83EB4">
      <w:pPr>
        <w:ind w:firstLineChars="200" w:firstLine="640"/>
        <w:jc w:val="left"/>
        <w:rPr>
          <w:rFonts w:ascii="仿宋_GB2312" w:eastAsia="仿宋_GB2312" w:hAnsi="宋体"/>
          <w:color w:val="000000" w:themeColor="text1"/>
          <w:sz w:val="32"/>
          <w:szCs w:val="32"/>
        </w:rPr>
      </w:pPr>
      <w:r>
        <w:rPr>
          <w:rFonts w:ascii="仿宋_GB2312" w:eastAsia="仿宋_GB2312" w:hAnsi="宋体" w:hint="eastAsia"/>
          <w:sz w:val="32"/>
          <w:szCs w:val="32"/>
        </w:rPr>
        <w:t>原因</w:t>
      </w:r>
      <w:r>
        <w:rPr>
          <w:rFonts w:ascii="仿宋_GB2312" w:eastAsia="仿宋_GB2312" w:hAnsi="宋体"/>
          <w:sz w:val="32"/>
          <w:szCs w:val="32"/>
        </w:rPr>
        <w:t>：</w:t>
      </w:r>
      <w:r>
        <w:rPr>
          <w:rFonts w:ascii="仿宋_GB2312" w:eastAsia="仿宋_GB2312" w:hAnsi="宋体" w:hint="eastAsia"/>
          <w:sz w:val="32"/>
          <w:szCs w:val="32"/>
        </w:rPr>
        <w:t>根据辖区实际情况</w:t>
      </w:r>
      <w:r w:rsidR="00854EAF">
        <w:rPr>
          <w:rFonts w:ascii="仿宋_GB2312" w:eastAsia="仿宋_GB2312" w:hAnsi="宋体" w:hint="eastAsia"/>
          <w:sz w:val="32"/>
          <w:szCs w:val="32"/>
        </w:rPr>
        <w:t>调整</w:t>
      </w:r>
      <w:r>
        <w:rPr>
          <w:rFonts w:ascii="仿宋_GB2312" w:eastAsia="仿宋_GB2312" w:hAnsi="仿宋_GB2312" w:cs="仿宋_GB2312" w:hint="eastAsia"/>
          <w:sz w:val="32"/>
          <w:szCs w:val="32"/>
        </w:rPr>
        <w:t>区域单元</w:t>
      </w:r>
      <w:r w:rsidR="00854EAF">
        <w:rPr>
          <w:rFonts w:ascii="仿宋_GB2312" w:eastAsia="仿宋_GB2312" w:hAnsi="仿宋_GB2312" w:cs="仿宋_GB2312" w:hint="eastAsia"/>
          <w:sz w:val="32"/>
          <w:szCs w:val="32"/>
        </w:rPr>
        <w:t>设置</w:t>
      </w:r>
      <w:r>
        <w:rPr>
          <w:rFonts w:ascii="仿宋_GB2312" w:eastAsia="仿宋_GB2312" w:hAnsi="仿宋_GB2312" w:cs="仿宋_GB2312" w:hint="eastAsia"/>
          <w:sz w:val="32"/>
          <w:szCs w:val="32"/>
        </w:rPr>
        <w:t>，仅</w:t>
      </w:r>
      <w:r w:rsidRPr="00093AF6">
        <w:rPr>
          <w:rFonts w:ascii="仿宋_GB2312" w:eastAsia="仿宋_GB2312" w:hAnsi="宋体" w:hint="eastAsia"/>
          <w:color w:val="000000" w:themeColor="text1"/>
          <w:sz w:val="32"/>
          <w:szCs w:val="32"/>
        </w:rPr>
        <w:t>按照各烟草管理所管辖区域进行设置</w:t>
      </w:r>
      <w:r>
        <w:rPr>
          <w:rFonts w:ascii="仿宋_GB2312" w:eastAsia="仿宋_GB2312" w:hAnsi="宋体" w:hint="eastAsia"/>
          <w:color w:val="000000" w:themeColor="text1"/>
          <w:sz w:val="32"/>
          <w:szCs w:val="32"/>
        </w:rPr>
        <w:t>区域</w:t>
      </w:r>
      <w:r w:rsidRPr="00093AF6">
        <w:rPr>
          <w:rFonts w:ascii="仿宋_GB2312" w:eastAsia="仿宋_GB2312" w:hAnsi="宋体" w:hint="eastAsia"/>
          <w:color w:val="000000" w:themeColor="text1"/>
          <w:sz w:val="32"/>
          <w:szCs w:val="32"/>
        </w:rPr>
        <w:t>。</w:t>
      </w:r>
    </w:p>
    <w:p w:rsidR="00F83EB4" w:rsidRDefault="00F83EB4" w:rsidP="00F83EB4">
      <w:pPr>
        <w:snapToGrid w:val="0"/>
        <w:spacing w:line="560" w:lineRule="exact"/>
        <w:ind w:firstLine="640"/>
        <w:rPr>
          <w:rStyle w:val="NormalCharacter"/>
          <w:rFonts w:ascii="仿宋_GB2312" w:eastAsia="仿宋_GB2312" w:hAnsi="宋体" w:cstheme="minorBidi"/>
          <w:sz w:val="32"/>
          <w:szCs w:val="32"/>
        </w:rPr>
      </w:pPr>
      <w:r>
        <w:rPr>
          <w:rStyle w:val="NormalCharacter"/>
          <w:rFonts w:ascii="仿宋_GB2312" w:eastAsia="仿宋_GB2312" w:hAnsi="宋体"/>
          <w:sz w:val="32"/>
          <w:szCs w:val="32"/>
        </w:rPr>
        <w:t>3.</w:t>
      </w:r>
      <w:r>
        <w:rPr>
          <w:rStyle w:val="NormalCharacter"/>
          <w:rFonts w:ascii="仿宋_GB2312" w:eastAsia="仿宋_GB2312" w:hAnsi="宋体" w:hint="eastAsia"/>
          <w:sz w:val="32"/>
          <w:szCs w:val="32"/>
        </w:rPr>
        <w:t>对第二章《</w:t>
      </w:r>
      <w:r>
        <w:rPr>
          <w:rStyle w:val="NormalCharacter"/>
          <w:rFonts w:ascii="仿宋_GB2312" w:eastAsia="仿宋_GB2312" w:hAnsi="宋体" w:cstheme="minorBidi" w:hint="eastAsia"/>
          <w:sz w:val="32"/>
          <w:szCs w:val="32"/>
        </w:rPr>
        <w:t>卷烟零售点合理布局规划标准</w:t>
      </w:r>
      <w:r>
        <w:rPr>
          <w:rStyle w:val="NormalCharacter"/>
          <w:rFonts w:ascii="仿宋_GB2312" w:eastAsia="仿宋_GB2312" w:hAnsi="宋体" w:hint="eastAsia"/>
          <w:sz w:val="32"/>
          <w:szCs w:val="32"/>
        </w:rPr>
        <w:t>》</w:t>
      </w:r>
      <w:r>
        <w:rPr>
          <w:rStyle w:val="NormalCharacter"/>
          <w:rFonts w:ascii="仿宋_GB2312" w:eastAsia="仿宋_GB2312" w:hAnsi="宋体" w:cstheme="minorBidi" w:hint="eastAsia"/>
          <w:sz w:val="32"/>
          <w:szCs w:val="32"/>
        </w:rPr>
        <w:t>中“区域单元数量控制模式”条款作如下修改：</w:t>
      </w:r>
    </w:p>
    <w:p w:rsidR="00F83EB4" w:rsidRPr="0094387B" w:rsidRDefault="00F83EB4" w:rsidP="00F83EB4">
      <w:pPr>
        <w:ind w:firstLine="640"/>
        <w:jc w:val="left"/>
        <w:rPr>
          <w:rFonts w:ascii="仿宋_GB2312" w:eastAsia="仿宋_GB2312" w:hAnsi="仿宋_GB2312" w:cs="仿宋_GB2312"/>
          <w:sz w:val="32"/>
          <w:szCs w:val="32"/>
        </w:rPr>
      </w:pPr>
      <w:r w:rsidRPr="00093AF6">
        <w:rPr>
          <w:rFonts w:ascii="仿宋_GB2312" w:eastAsia="仿宋_GB2312" w:hAnsi="仿宋_GB2312" w:cs="仿宋_GB2312" w:hint="eastAsia"/>
          <w:color w:val="000000" w:themeColor="text1"/>
          <w:sz w:val="32"/>
          <w:szCs w:val="32"/>
        </w:rPr>
        <w:t>区域单元合理布局的零售点间距应当在30米以上，且零售点数量不得超出所属市场单元的数量标准。</w:t>
      </w:r>
    </w:p>
    <w:p w:rsidR="00F83EB4" w:rsidRPr="0094387B" w:rsidRDefault="00F83EB4" w:rsidP="00F83EB4">
      <w:pPr>
        <w:ind w:firstLine="640"/>
        <w:jc w:val="left"/>
        <w:rPr>
          <w:rFonts w:ascii="仿宋_GB2312" w:eastAsia="仿宋_GB2312" w:hAnsi="仿宋_GB2312" w:cs="仿宋_GB2312"/>
          <w:sz w:val="32"/>
          <w:szCs w:val="32"/>
        </w:rPr>
      </w:pPr>
      <w:r w:rsidRPr="0094387B">
        <w:rPr>
          <w:rFonts w:ascii="仿宋_GB2312" w:eastAsia="仿宋_GB2312" w:hAnsi="仿宋_GB2312" w:cs="仿宋_GB2312" w:hint="eastAsia"/>
          <w:sz w:val="32"/>
          <w:szCs w:val="32"/>
        </w:rPr>
        <w:t>区域</w:t>
      </w:r>
      <w:r>
        <w:rPr>
          <w:rFonts w:ascii="仿宋_GB2312" w:eastAsia="仿宋_GB2312" w:hAnsi="仿宋_GB2312" w:cs="仿宋_GB2312" w:hint="eastAsia"/>
          <w:sz w:val="32"/>
          <w:szCs w:val="32"/>
        </w:rPr>
        <w:t>单元</w:t>
      </w:r>
      <w:r w:rsidRPr="0094387B">
        <w:rPr>
          <w:rFonts w:ascii="仿宋_GB2312" w:eastAsia="仿宋_GB2312" w:hAnsi="仿宋_GB2312" w:cs="仿宋_GB2312" w:hint="eastAsia"/>
          <w:sz w:val="32"/>
          <w:szCs w:val="32"/>
        </w:rPr>
        <w:t>详见《</w:t>
      </w:r>
      <w:r w:rsidR="004C53AC" w:rsidRPr="004C53AC">
        <w:rPr>
          <w:rFonts w:ascii="仿宋_GB2312" w:eastAsia="仿宋_GB2312" w:hAnsi="宋体" w:hint="eastAsia"/>
          <w:sz w:val="32"/>
          <w:szCs w:val="32"/>
        </w:rPr>
        <w:t>武汉市新洲区烟草制品零售点合理布局规划区域划分范围和数量指标公示表</w:t>
      </w:r>
      <w:r w:rsidRPr="0094387B">
        <w:rPr>
          <w:rFonts w:ascii="仿宋_GB2312" w:eastAsia="仿宋_GB2312" w:hAnsi="仿宋_GB2312" w:cs="仿宋_GB2312" w:hint="eastAsia"/>
          <w:sz w:val="32"/>
          <w:szCs w:val="32"/>
        </w:rPr>
        <w:t>》。</w:t>
      </w:r>
    </w:p>
    <w:p w:rsidR="00F83EB4" w:rsidRDefault="00F83EB4" w:rsidP="00F83EB4">
      <w:pPr>
        <w:wordWrap w:val="0"/>
        <w:ind w:firstLine="640"/>
        <w:rPr>
          <w:rFonts w:ascii="仿宋" w:eastAsia="仿宋" w:hAnsi="仿宋" w:cs="仿宋"/>
          <w:sz w:val="32"/>
          <w:szCs w:val="32"/>
        </w:rPr>
      </w:pPr>
      <w:r>
        <w:rPr>
          <w:rFonts w:ascii="仿宋" w:eastAsia="仿宋" w:hAnsi="仿宋" w:cs="仿宋" w:hint="eastAsia"/>
          <w:sz w:val="32"/>
          <w:szCs w:val="32"/>
        </w:rPr>
        <w:t>原因</w:t>
      </w:r>
      <w:r>
        <w:rPr>
          <w:rFonts w:ascii="仿宋" w:eastAsia="仿宋" w:hAnsi="仿宋" w:cs="仿宋"/>
          <w:sz w:val="32"/>
          <w:szCs w:val="32"/>
        </w:rPr>
        <w:t>：</w:t>
      </w:r>
      <w:r>
        <w:rPr>
          <w:rFonts w:ascii="仿宋" w:eastAsia="仿宋" w:hAnsi="仿宋" w:cs="仿宋" w:hint="eastAsia"/>
          <w:sz w:val="32"/>
          <w:szCs w:val="32"/>
        </w:rPr>
        <w:t>根据实际情况合理调整区域内</w:t>
      </w:r>
      <w:r>
        <w:rPr>
          <w:rStyle w:val="NormalCharacter"/>
          <w:rFonts w:ascii="仿宋_GB2312" w:eastAsia="仿宋_GB2312" w:hAnsi="宋体" w:cstheme="minorBidi" w:hint="eastAsia"/>
          <w:sz w:val="32"/>
          <w:szCs w:val="32"/>
        </w:rPr>
        <w:t>数量控制上限</w:t>
      </w:r>
      <w:r>
        <w:rPr>
          <w:rFonts w:ascii="仿宋" w:eastAsia="仿宋" w:hAnsi="仿宋" w:cs="仿宋"/>
          <w:sz w:val="32"/>
          <w:szCs w:val="32"/>
        </w:rPr>
        <w:t>。</w:t>
      </w:r>
    </w:p>
    <w:p w:rsidR="00F83EB4" w:rsidRDefault="00F83EB4" w:rsidP="00F83EB4">
      <w:pPr>
        <w:wordWrap w:val="0"/>
        <w:ind w:firstLine="640"/>
        <w:rPr>
          <w:rStyle w:val="NormalCharacter"/>
          <w:rFonts w:ascii="仿宋_GB2312" w:eastAsia="仿宋_GB2312" w:hAnsi="宋体" w:cstheme="minorBidi"/>
          <w:sz w:val="32"/>
          <w:szCs w:val="32"/>
        </w:rPr>
      </w:pPr>
      <w:r>
        <w:rPr>
          <w:rFonts w:ascii="仿宋" w:eastAsia="仿宋" w:hAnsi="仿宋" w:cs="仿宋" w:hint="eastAsia"/>
          <w:sz w:val="32"/>
          <w:szCs w:val="32"/>
        </w:rPr>
        <w:t>4.</w:t>
      </w:r>
      <w:r>
        <w:rPr>
          <w:rStyle w:val="NormalCharacter"/>
          <w:rFonts w:ascii="仿宋_GB2312" w:eastAsia="仿宋_GB2312" w:hAnsi="宋体" w:hint="eastAsia"/>
          <w:sz w:val="32"/>
          <w:szCs w:val="32"/>
        </w:rPr>
        <w:t>对第二章《</w:t>
      </w:r>
      <w:r>
        <w:rPr>
          <w:rStyle w:val="NormalCharacter"/>
          <w:rFonts w:ascii="仿宋_GB2312" w:eastAsia="仿宋_GB2312" w:hAnsi="宋体" w:cstheme="minorBidi" w:hint="eastAsia"/>
          <w:sz w:val="32"/>
          <w:szCs w:val="32"/>
        </w:rPr>
        <w:t>卷烟零售点合理布局规划标准</w:t>
      </w:r>
      <w:r>
        <w:rPr>
          <w:rStyle w:val="NormalCharacter"/>
          <w:rFonts w:ascii="仿宋_GB2312" w:eastAsia="仿宋_GB2312" w:hAnsi="宋体" w:hint="eastAsia"/>
          <w:sz w:val="32"/>
          <w:szCs w:val="32"/>
        </w:rPr>
        <w:t>》</w:t>
      </w:r>
      <w:r>
        <w:rPr>
          <w:rStyle w:val="NormalCharacter"/>
          <w:rFonts w:ascii="仿宋_GB2312" w:eastAsia="仿宋_GB2312" w:hAnsi="宋体" w:cstheme="minorBidi" w:hint="eastAsia"/>
          <w:sz w:val="32"/>
          <w:szCs w:val="32"/>
        </w:rPr>
        <w:t>中“可在零售点的间距标准上降低50%”条款作如下修改：</w:t>
      </w:r>
    </w:p>
    <w:p w:rsidR="00F83EB4" w:rsidRDefault="00F83EB4" w:rsidP="00F83EB4">
      <w:pPr>
        <w:wordWrap w:val="0"/>
        <w:ind w:firstLine="640"/>
        <w:rPr>
          <w:rStyle w:val="NormalCharacter"/>
          <w:rFonts w:ascii="仿宋_GB2312" w:eastAsia="仿宋_GB2312" w:hAnsi="宋体" w:cstheme="minorBidi"/>
          <w:sz w:val="32"/>
          <w:szCs w:val="32"/>
        </w:rPr>
      </w:pPr>
      <w:r>
        <w:rPr>
          <w:rStyle w:val="NormalCharacter"/>
          <w:rFonts w:ascii="仿宋_GB2312" w:eastAsia="仿宋_GB2312" w:hAnsi="宋体" w:cstheme="minorBidi" w:hint="eastAsia"/>
          <w:sz w:val="32"/>
          <w:szCs w:val="32"/>
        </w:rPr>
        <w:t>将“</w:t>
      </w:r>
      <w:r>
        <w:rPr>
          <w:rFonts w:ascii="仿宋_GB2312" w:eastAsia="仿宋_GB2312" w:hAnsi="宋体" w:hint="eastAsia"/>
          <w:sz w:val="32"/>
          <w:szCs w:val="32"/>
        </w:rPr>
        <w:t>具有完全民事行为能力残疾人</w:t>
      </w:r>
      <w:r>
        <w:rPr>
          <w:rStyle w:val="NormalCharacter"/>
          <w:rFonts w:ascii="仿宋_GB2312" w:eastAsia="仿宋_GB2312" w:hAnsi="宋体" w:cstheme="minorBidi" w:hint="eastAsia"/>
          <w:sz w:val="32"/>
          <w:szCs w:val="32"/>
        </w:rPr>
        <w:t>”要求修改为</w:t>
      </w:r>
      <w:r>
        <w:rPr>
          <w:rFonts w:ascii="仿宋_GB2312" w:eastAsia="仿宋_GB2312" w:hAnsi="宋体" w:hint="eastAsia"/>
          <w:sz w:val="32"/>
          <w:szCs w:val="32"/>
        </w:rPr>
        <w:t>持有《中华人民共和国残疾人证》；</w:t>
      </w:r>
      <w:r>
        <w:rPr>
          <w:rFonts w:ascii="仿宋" w:eastAsia="仿宋" w:hAnsi="仿宋" w:cs="仿宋" w:hint="eastAsia"/>
          <w:sz w:val="32"/>
          <w:szCs w:val="32"/>
        </w:rPr>
        <w:t>将“</w:t>
      </w:r>
      <w:r>
        <w:rPr>
          <w:rFonts w:ascii="仿宋_GB2312" w:eastAsia="仿宋_GB2312" w:hAnsi="宋体" w:hint="eastAsia"/>
          <w:sz w:val="32"/>
          <w:szCs w:val="32"/>
        </w:rPr>
        <w:t>选择自主就业（自主择业）安置方式退伍之日起三年内的退役军人”调整为“持有《中</w:t>
      </w:r>
      <w:r>
        <w:rPr>
          <w:rFonts w:ascii="仿宋_GB2312" w:eastAsia="仿宋_GB2312" w:hAnsi="宋体" w:hint="eastAsia"/>
          <w:sz w:val="32"/>
          <w:szCs w:val="32"/>
        </w:rPr>
        <w:lastRenderedPageBreak/>
        <w:t>华人民共和国退役军人优待证》的退役不满三年的退役军人”；删除“享受最低生活保障的城镇居民”表述。</w:t>
      </w:r>
      <w:r>
        <w:rPr>
          <w:rStyle w:val="NormalCharacter"/>
          <w:rFonts w:ascii="仿宋_GB2312" w:eastAsia="仿宋_GB2312" w:hAnsi="宋体" w:cstheme="minorBidi" w:hint="eastAsia"/>
          <w:sz w:val="32"/>
          <w:szCs w:val="32"/>
        </w:rPr>
        <w:t>减少</w:t>
      </w:r>
      <w:r>
        <w:rPr>
          <w:rStyle w:val="NormalCharacter"/>
          <w:rFonts w:ascii="MS Mincho" w:eastAsia="MS Mincho" w:hAnsi="MS Mincho" w:cs="MS Mincho" w:hint="eastAsia"/>
          <w:sz w:val="32"/>
          <w:szCs w:val="32"/>
        </w:rPr>
        <w:t>‌</w:t>
      </w:r>
      <w:r>
        <w:rPr>
          <w:rStyle w:val="NormalCharacter"/>
          <w:rFonts w:ascii="仿宋_GB2312" w:eastAsia="仿宋_GB2312" w:hAnsi="宋体" w:cstheme="minorBidi" w:hint="eastAsia"/>
          <w:sz w:val="32"/>
          <w:szCs w:val="32"/>
        </w:rPr>
        <w:t>品牌连锁便利店</w:t>
      </w:r>
      <w:r>
        <w:rPr>
          <w:rFonts w:ascii="仿宋_GB2312" w:eastAsia="仿宋_GB2312" w:hAnsi="宋体" w:cs="仿宋_GB2312" w:hint="eastAsia"/>
          <w:sz w:val="32"/>
          <w:szCs w:val="31"/>
        </w:rPr>
        <w:t>门店数量及涉烟违法记录等相关要求</w:t>
      </w:r>
      <w:r>
        <w:rPr>
          <w:rStyle w:val="NormalCharacter"/>
          <w:rFonts w:ascii="仿宋_GB2312" w:eastAsia="仿宋_GB2312" w:hAnsi="宋体" w:cstheme="minorBidi" w:hint="eastAsia"/>
          <w:sz w:val="32"/>
          <w:szCs w:val="32"/>
        </w:rPr>
        <w:t>。</w:t>
      </w:r>
    </w:p>
    <w:p w:rsidR="00F83EB4" w:rsidRDefault="00F83EB4" w:rsidP="00F83EB4">
      <w:pPr>
        <w:wordWrap w:val="0"/>
        <w:ind w:firstLine="640"/>
        <w:rPr>
          <w:rFonts w:ascii="仿宋_GB2312" w:eastAsia="仿宋_GB2312" w:hAnsi="仿宋_GB2312" w:cs="仿宋_GB2312"/>
          <w:sz w:val="32"/>
          <w:szCs w:val="32"/>
        </w:rPr>
      </w:pPr>
      <w:r>
        <w:rPr>
          <w:rStyle w:val="NormalCharacter"/>
          <w:rFonts w:ascii="仿宋_GB2312" w:eastAsia="仿宋_GB2312" w:hAnsi="宋体" w:cstheme="minorBidi" w:hint="eastAsia"/>
          <w:sz w:val="32"/>
          <w:szCs w:val="32"/>
        </w:rPr>
        <w:t>原因：</w:t>
      </w:r>
      <w:r>
        <w:rPr>
          <w:rFonts w:ascii="仿宋_GB2312" w:eastAsia="仿宋_GB2312" w:hAnsi="宋体" w:hint="eastAsia"/>
          <w:sz w:val="32"/>
          <w:szCs w:val="32"/>
        </w:rPr>
        <w:t>民事行为能力非办证许可机关可辨识，享受最低生活保障的城镇居民获许可后无法继续享受最低生活保障，</w:t>
      </w:r>
      <w:r>
        <w:rPr>
          <w:rStyle w:val="NormalCharacter"/>
          <w:rFonts w:ascii="仿宋_GB2312" w:eastAsia="仿宋_GB2312" w:hAnsi="宋体" w:cstheme="minorBidi" w:hint="eastAsia"/>
          <w:sz w:val="32"/>
          <w:szCs w:val="32"/>
        </w:rPr>
        <w:t>便利店门店数量要求属于限制性条款，</w:t>
      </w:r>
      <w:r>
        <w:rPr>
          <w:rFonts w:ascii="仿宋_GB2312" w:eastAsia="仿宋_GB2312" w:hAnsi="仿宋_GB2312" w:cs="仿宋_GB2312" w:hint="eastAsia"/>
          <w:sz w:val="32"/>
          <w:szCs w:val="32"/>
        </w:rPr>
        <w:t>与优化营商环境的背景不相适应。</w:t>
      </w:r>
    </w:p>
    <w:p w:rsidR="00F83EB4" w:rsidRDefault="00F83EB4" w:rsidP="00F83EB4">
      <w:pPr>
        <w:wordWrap w:val="0"/>
        <w:ind w:firstLine="640"/>
        <w:rPr>
          <w:rStyle w:val="NormalCharacter"/>
          <w:rFonts w:ascii="仿宋_GB2312" w:eastAsia="仿宋_GB2312" w:hAnsi="宋体" w:cstheme="minorBidi"/>
          <w:sz w:val="32"/>
          <w:szCs w:val="32"/>
        </w:rPr>
      </w:pPr>
      <w:r>
        <w:rPr>
          <w:rFonts w:ascii="仿宋_GB2312" w:eastAsia="仿宋_GB2312" w:hAnsi="仿宋_GB2312" w:cs="仿宋_GB2312" w:hint="eastAsia"/>
          <w:sz w:val="32"/>
          <w:szCs w:val="32"/>
        </w:rPr>
        <w:t>5.</w:t>
      </w:r>
      <w:r>
        <w:rPr>
          <w:rStyle w:val="NormalCharacter"/>
          <w:rFonts w:ascii="仿宋_GB2312" w:eastAsia="仿宋_GB2312" w:hAnsi="宋体" w:hint="eastAsia"/>
          <w:sz w:val="32"/>
          <w:szCs w:val="32"/>
        </w:rPr>
        <w:t>对第二章《</w:t>
      </w:r>
      <w:r>
        <w:rPr>
          <w:rStyle w:val="NormalCharacter"/>
          <w:rFonts w:ascii="仿宋_GB2312" w:eastAsia="仿宋_GB2312" w:hAnsi="宋体" w:cstheme="minorBidi" w:hint="eastAsia"/>
          <w:sz w:val="32"/>
          <w:szCs w:val="32"/>
        </w:rPr>
        <w:t>卷烟零售点合理布局规划标准</w:t>
      </w:r>
      <w:r>
        <w:rPr>
          <w:rStyle w:val="NormalCharacter"/>
          <w:rFonts w:ascii="仿宋_GB2312" w:eastAsia="仿宋_GB2312" w:hAnsi="宋体" w:hint="eastAsia"/>
          <w:sz w:val="32"/>
          <w:szCs w:val="32"/>
        </w:rPr>
        <w:t>》</w:t>
      </w:r>
      <w:r>
        <w:rPr>
          <w:rStyle w:val="NormalCharacter"/>
          <w:rFonts w:ascii="仿宋_GB2312" w:eastAsia="仿宋_GB2312" w:hAnsi="宋体" w:cstheme="minorBidi" w:hint="eastAsia"/>
          <w:sz w:val="32"/>
          <w:szCs w:val="32"/>
        </w:rPr>
        <w:t>中“因道路规划、城市建设等客观原因申请变更烟草专卖许可证”、“位于幼儿园、中小学校出入口周围50米范围以内，自愿退出幼儿园、中小学校周围，6个月内另行择址经营”等条款作如下修改：</w:t>
      </w:r>
    </w:p>
    <w:p w:rsidR="00F83EB4" w:rsidRDefault="00F83EB4" w:rsidP="00F83EB4">
      <w:pPr>
        <w:wordWrap w:val="0"/>
        <w:ind w:firstLine="640"/>
        <w:rPr>
          <w:rStyle w:val="NormalCharacter"/>
          <w:rFonts w:ascii="仿宋_GB2312" w:eastAsia="仿宋_GB2312" w:hAnsi="宋体" w:cstheme="minorBidi"/>
          <w:sz w:val="32"/>
          <w:szCs w:val="32"/>
        </w:rPr>
      </w:pPr>
      <w:r>
        <w:rPr>
          <w:rFonts w:ascii="仿宋_GB2312" w:eastAsia="仿宋_GB2312" w:hAnsi="宋体" w:hint="eastAsia"/>
          <w:sz w:val="32"/>
          <w:szCs w:val="32"/>
        </w:rPr>
        <w:t>将“新经营地址应属原发证机关管辖”</w:t>
      </w:r>
      <w:r>
        <w:rPr>
          <w:rStyle w:val="NormalCharacter"/>
          <w:rFonts w:ascii="仿宋_GB2312" w:eastAsia="仿宋_GB2312" w:hAnsi="宋体" w:cstheme="minorBidi" w:hint="eastAsia"/>
          <w:sz w:val="32"/>
          <w:szCs w:val="32"/>
        </w:rPr>
        <w:t>调整为“新经营地址应属原市场单元区域”。</w:t>
      </w:r>
    </w:p>
    <w:p w:rsidR="00F83EB4" w:rsidRDefault="00F83EB4" w:rsidP="00F83EB4">
      <w:pPr>
        <w:wordWrap w:val="0"/>
        <w:ind w:firstLine="640"/>
        <w:rPr>
          <w:rStyle w:val="NormalCharacter"/>
          <w:rFonts w:ascii="仿宋_GB2312" w:eastAsia="仿宋_GB2312" w:hAnsi="宋体" w:cstheme="minorBidi"/>
          <w:sz w:val="32"/>
          <w:szCs w:val="32"/>
        </w:rPr>
      </w:pPr>
      <w:r>
        <w:rPr>
          <w:rStyle w:val="NormalCharacter"/>
          <w:rFonts w:ascii="仿宋_GB2312" w:eastAsia="仿宋_GB2312" w:hAnsi="宋体" w:cstheme="minorBidi" w:hint="eastAsia"/>
          <w:sz w:val="32"/>
          <w:szCs w:val="32"/>
        </w:rPr>
        <w:t>原因：根据实际情况对地址变更进行合理限制。</w:t>
      </w:r>
    </w:p>
    <w:p w:rsidR="003C6687" w:rsidRPr="00F83EB4" w:rsidRDefault="003C6687" w:rsidP="00A441D2">
      <w:pPr>
        <w:ind w:firstLineChars="200" w:firstLine="640"/>
        <w:rPr>
          <w:rFonts w:ascii="仿宋_GB2312" w:eastAsia="仿宋_GB2312"/>
          <w:sz w:val="32"/>
          <w:szCs w:val="32"/>
        </w:rPr>
      </w:pPr>
    </w:p>
    <w:sectPr w:rsidR="003C6687" w:rsidRPr="00F83EB4" w:rsidSect="00397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B4C" w:rsidRDefault="00647B4C" w:rsidP="002B477F">
      <w:r>
        <w:separator/>
      </w:r>
    </w:p>
  </w:endnote>
  <w:endnote w:type="continuationSeparator" w:id="1">
    <w:p w:rsidR="00647B4C" w:rsidRDefault="00647B4C" w:rsidP="002B47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B4C" w:rsidRDefault="00647B4C" w:rsidP="002B477F">
      <w:r>
        <w:separator/>
      </w:r>
    </w:p>
  </w:footnote>
  <w:footnote w:type="continuationSeparator" w:id="1">
    <w:p w:rsidR="00647B4C" w:rsidRDefault="00647B4C" w:rsidP="002B47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77F"/>
    <w:rsid w:val="000379FD"/>
    <w:rsid w:val="00064492"/>
    <w:rsid w:val="000708D2"/>
    <w:rsid w:val="00086F2B"/>
    <w:rsid w:val="00091F03"/>
    <w:rsid w:val="0009466F"/>
    <w:rsid w:val="000B15DD"/>
    <w:rsid w:val="000C314B"/>
    <w:rsid w:val="000D4602"/>
    <w:rsid w:val="000D652F"/>
    <w:rsid w:val="000F6D32"/>
    <w:rsid w:val="001160B2"/>
    <w:rsid w:val="001569F9"/>
    <w:rsid w:val="001A0BB7"/>
    <w:rsid w:val="001A718D"/>
    <w:rsid w:val="001F4764"/>
    <w:rsid w:val="002119F5"/>
    <w:rsid w:val="0021692E"/>
    <w:rsid w:val="00216C6F"/>
    <w:rsid w:val="002B3E9C"/>
    <w:rsid w:val="002B477F"/>
    <w:rsid w:val="002C72DB"/>
    <w:rsid w:val="002D3678"/>
    <w:rsid w:val="002E02E6"/>
    <w:rsid w:val="002F6C1A"/>
    <w:rsid w:val="0039787D"/>
    <w:rsid w:val="003C6687"/>
    <w:rsid w:val="00400F06"/>
    <w:rsid w:val="00441FEA"/>
    <w:rsid w:val="00452DD9"/>
    <w:rsid w:val="00461BFC"/>
    <w:rsid w:val="004827DD"/>
    <w:rsid w:val="00485E39"/>
    <w:rsid w:val="004C4B5D"/>
    <w:rsid w:val="004C53AC"/>
    <w:rsid w:val="004E0FE0"/>
    <w:rsid w:val="00540A0C"/>
    <w:rsid w:val="00586C64"/>
    <w:rsid w:val="005A27A3"/>
    <w:rsid w:val="00647B4C"/>
    <w:rsid w:val="00697391"/>
    <w:rsid w:val="006D7B78"/>
    <w:rsid w:val="006F2E8A"/>
    <w:rsid w:val="00711A67"/>
    <w:rsid w:val="00716F50"/>
    <w:rsid w:val="00773B45"/>
    <w:rsid w:val="00795C94"/>
    <w:rsid w:val="007C1368"/>
    <w:rsid w:val="007F2D13"/>
    <w:rsid w:val="007F7756"/>
    <w:rsid w:val="0083123B"/>
    <w:rsid w:val="008427D8"/>
    <w:rsid w:val="00854EAF"/>
    <w:rsid w:val="00863A45"/>
    <w:rsid w:val="008666A0"/>
    <w:rsid w:val="008B37FB"/>
    <w:rsid w:val="008B7A27"/>
    <w:rsid w:val="00915377"/>
    <w:rsid w:val="00933E90"/>
    <w:rsid w:val="00990A78"/>
    <w:rsid w:val="009A1851"/>
    <w:rsid w:val="009C3BEF"/>
    <w:rsid w:val="009E4820"/>
    <w:rsid w:val="009E60C7"/>
    <w:rsid w:val="00A441D2"/>
    <w:rsid w:val="00A50FDB"/>
    <w:rsid w:val="00A52CDA"/>
    <w:rsid w:val="00A63DF0"/>
    <w:rsid w:val="00A863F0"/>
    <w:rsid w:val="00AC21E7"/>
    <w:rsid w:val="00B07A33"/>
    <w:rsid w:val="00B16919"/>
    <w:rsid w:val="00B747A6"/>
    <w:rsid w:val="00BA1A80"/>
    <w:rsid w:val="00BF3B6D"/>
    <w:rsid w:val="00C27E61"/>
    <w:rsid w:val="00C62C32"/>
    <w:rsid w:val="00C7241E"/>
    <w:rsid w:val="00C7552E"/>
    <w:rsid w:val="00C8652B"/>
    <w:rsid w:val="00CA6265"/>
    <w:rsid w:val="00CE2829"/>
    <w:rsid w:val="00CE34AA"/>
    <w:rsid w:val="00CE7EB2"/>
    <w:rsid w:val="00D10B5B"/>
    <w:rsid w:val="00D34D4A"/>
    <w:rsid w:val="00DD05D3"/>
    <w:rsid w:val="00DE7E54"/>
    <w:rsid w:val="00E12BE9"/>
    <w:rsid w:val="00E622CC"/>
    <w:rsid w:val="00E719D7"/>
    <w:rsid w:val="00EC3EEF"/>
    <w:rsid w:val="00ED781B"/>
    <w:rsid w:val="00F05955"/>
    <w:rsid w:val="00F41283"/>
    <w:rsid w:val="00F44984"/>
    <w:rsid w:val="00F61D28"/>
    <w:rsid w:val="00F80671"/>
    <w:rsid w:val="00F83EB4"/>
    <w:rsid w:val="00FC4FF3"/>
    <w:rsid w:val="00FD1FDD"/>
    <w:rsid w:val="00FD4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7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477F"/>
    <w:rPr>
      <w:sz w:val="18"/>
      <w:szCs w:val="18"/>
    </w:rPr>
  </w:style>
  <w:style w:type="paragraph" w:styleId="a4">
    <w:name w:val="footer"/>
    <w:basedOn w:val="a"/>
    <w:link w:val="Char0"/>
    <w:uiPriority w:val="99"/>
    <w:semiHidden/>
    <w:unhideWhenUsed/>
    <w:rsid w:val="002B47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477F"/>
    <w:rPr>
      <w:sz w:val="18"/>
      <w:szCs w:val="18"/>
    </w:rPr>
  </w:style>
  <w:style w:type="character" w:customStyle="1" w:styleId="rgroup">
    <w:name w:val="rgroup"/>
    <w:basedOn w:val="a0"/>
    <w:rsid w:val="00441FEA"/>
  </w:style>
  <w:style w:type="character" w:customStyle="1" w:styleId="NormalCharacter">
    <w:name w:val="NormalCharacter"/>
    <w:semiHidden/>
    <w:qFormat/>
    <w:rsid w:val="00F44984"/>
  </w:style>
  <w:style w:type="paragraph" w:styleId="a5">
    <w:name w:val="Balloon Text"/>
    <w:basedOn w:val="a"/>
    <w:link w:val="Char1"/>
    <w:uiPriority w:val="99"/>
    <w:semiHidden/>
    <w:unhideWhenUsed/>
    <w:rsid w:val="004C4B5D"/>
    <w:rPr>
      <w:sz w:val="18"/>
      <w:szCs w:val="18"/>
    </w:rPr>
  </w:style>
  <w:style w:type="character" w:customStyle="1" w:styleId="Char1">
    <w:name w:val="批注框文本 Char"/>
    <w:basedOn w:val="a0"/>
    <w:link w:val="a5"/>
    <w:uiPriority w:val="99"/>
    <w:semiHidden/>
    <w:rsid w:val="004C4B5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41230717">
      <w:bodyDiv w:val="1"/>
      <w:marLeft w:val="0"/>
      <w:marRight w:val="0"/>
      <w:marTop w:val="0"/>
      <w:marBottom w:val="0"/>
      <w:divBdr>
        <w:top w:val="none" w:sz="0" w:space="0" w:color="auto"/>
        <w:left w:val="none" w:sz="0" w:space="0" w:color="auto"/>
        <w:bottom w:val="none" w:sz="0" w:space="0" w:color="auto"/>
        <w:right w:val="none" w:sz="0" w:space="0" w:color="auto"/>
      </w:divBdr>
    </w:div>
    <w:div w:id="687175989">
      <w:bodyDiv w:val="1"/>
      <w:marLeft w:val="0"/>
      <w:marRight w:val="0"/>
      <w:marTop w:val="0"/>
      <w:marBottom w:val="0"/>
      <w:divBdr>
        <w:top w:val="none" w:sz="0" w:space="0" w:color="auto"/>
        <w:left w:val="none" w:sz="0" w:space="0" w:color="auto"/>
        <w:bottom w:val="none" w:sz="0" w:space="0" w:color="auto"/>
        <w:right w:val="none" w:sz="0" w:space="0" w:color="auto"/>
      </w:divBdr>
      <w:divsChild>
        <w:div w:id="1431318293">
          <w:marLeft w:val="0"/>
          <w:marRight w:val="0"/>
          <w:marTop w:val="0"/>
          <w:marBottom w:val="0"/>
          <w:divBdr>
            <w:top w:val="none" w:sz="0" w:space="0" w:color="auto"/>
            <w:left w:val="none" w:sz="0" w:space="0" w:color="auto"/>
            <w:bottom w:val="none" w:sz="0" w:space="0" w:color="auto"/>
            <w:right w:val="none" w:sz="0" w:space="0" w:color="auto"/>
          </w:divBdr>
          <w:divsChild>
            <w:div w:id="1982614839">
              <w:marLeft w:val="45"/>
              <w:marRight w:val="30"/>
              <w:marTop w:val="30"/>
              <w:marBottom w:val="0"/>
              <w:divBdr>
                <w:top w:val="none" w:sz="0" w:space="0" w:color="auto"/>
                <w:left w:val="none" w:sz="0" w:space="0" w:color="auto"/>
                <w:bottom w:val="none" w:sz="0" w:space="0" w:color="auto"/>
                <w:right w:val="none" w:sz="0" w:space="0" w:color="auto"/>
              </w:divBdr>
              <w:divsChild>
                <w:div w:id="2143887288">
                  <w:marLeft w:val="0"/>
                  <w:marRight w:val="0"/>
                  <w:marTop w:val="0"/>
                  <w:marBottom w:val="0"/>
                  <w:divBdr>
                    <w:top w:val="single" w:sz="6" w:space="0" w:color="CFCFCF"/>
                    <w:left w:val="single" w:sz="6" w:space="0" w:color="CFCFCF"/>
                    <w:bottom w:val="single" w:sz="6" w:space="0" w:color="CFCFCF"/>
                    <w:right w:val="single" w:sz="6" w:space="0" w:color="CFCFCF"/>
                  </w:divBdr>
                  <w:divsChild>
                    <w:div w:id="1400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735">
          <w:marLeft w:val="0"/>
          <w:marRight w:val="0"/>
          <w:marTop w:val="0"/>
          <w:marBottom w:val="0"/>
          <w:divBdr>
            <w:top w:val="none" w:sz="0" w:space="0" w:color="auto"/>
            <w:left w:val="none" w:sz="0" w:space="0" w:color="auto"/>
            <w:bottom w:val="none" w:sz="0" w:space="0" w:color="auto"/>
            <w:right w:val="none" w:sz="0" w:space="0" w:color="auto"/>
          </w:divBdr>
          <w:divsChild>
            <w:div w:id="140274233">
              <w:marLeft w:val="45"/>
              <w:marRight w:val="30"/>
              <w:marTop w:val="30"/>
              <w:marBottom w:val="0"/>
              <w:divBdr>
                <w:top w:val="none" w:sz="0" w:space="0" w:color="auto"/>
                <w:left w:val="none" w:sz="0" w:space="0" w:color="auto"/>
                <w:bottom w:val="none" w:sz="0" w:space="0" w:color="auto"/>
                <w:right w:val="none" w:sz="0" w:space="0" w:color="auto"/>
              </w:divBdr>
              <w:divsChild>
                <w:div w:id="237247623">
                  <w:marLeft w:val="0"/>
                  <w:marRight w:val="0"/>
                  <w:marTop w:val="0"/>
                  <w:marBottom w:val="0"/>
                  <w:divBdr>
                    <w:top w:val="single" w:sz="6" w:space="0" w:color="CFCFCF"/>
                    <w:left w:val="single" w:sz="6" w:space="0" w:color="CFCFCF"/>
                    <w:bottom w:val="single" w:sz="6" w:space="0" w:color="CFCFCF"/>
                    <w:right w:val="single" w:sz="6" w:space="0" w:color="CFCFCF"/>
                  </w:divBdr>
                  <w:divsChild>
                    <w:div w:id="13065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64926">
      <w:bodyDiv w:val="1"/>
      <w:marLeft w:val="0"/>
      <w:marRight w:val="0"/>
      <w:marTop w:val="0"/>
      <w:marBottom w:val="0"/>
      <w:divBdr>
        <w:top w:val="none" w:sz="0" w:space="0" w:color="auto"/>
        <w:left w:val="none" w:sz="0" w:space="0" w:color="auto"/>
        <w:bottom w:val="none" w:sz="0" w:space="0" w:color="auto"/>
        <w:right w:val="none" w:sz="0" w:space="0" w:color="auto"/>
      </w:divBdr>
      <w:divsChild>
        <w:div w:id="1249772134">
          <w:marLeft w:val="0"/>
          <w:marRight w:val="0"/>
          <w:marTop w:val="0"/>
          <w:marBottom w:val="0"/>
          <w:divBdr>
            <w:top w:val="none" w:sz="0" w:space="0" w:color="auto"/>
            <w:left w:val="none" w:sz="0" w:space="0" w:color="auto"/>
            <w:bottom w:val="none" w:sz="0" w:space="0" w:color="auto"/>
            <w:right w:val="none" w:sz="0" w:space="0" w:color="auto"/>
          </w:divBdr>
          <w:divsChild>
            <w:div w:id="1328946427">
              <w:marLeft w:val="45"/>
              <w:marRight w:val="30"/>
              <w:marTop w:val="30"/>
              <w:marBottom w:val="0"/>
              <w:divBdr>
                <w:top w:val="none" w:sz="0" w:space="0" w:color="auto"/>
                <w:left w:val="none" w:sz="0" w:space="0" w:color="auto"/>
                <w:bottom w:val="none" w:sz="0" w:space="0" w:color="auto"/>
                <w:right w:val="none" w:sz="0" w:space="0" w:color="auto"/>
              </w:divBdr>
              <w:divsChild>
                <w:div w:id="1208371360">
                  <w:marLeft w:val="0"/>
                  <w:marRight w:val="0"/>
                  <w:marTop w:val="0"/>
                  <w:marBottom w:val="0"/>
                  <w:divBdr>
                    <w:top w:val="single" w:sz="6" w:space="0" w:color="CFCFCF"/>
                    <w:left w:val="single" w:sz="6" w:space="0" w:color="CFCFCF"/>
                    <w:bottom w:val="single" w:sz="6" w:space="0" w:color="CFCFCF"/>
                    <w:right w:val="single" w:sz="6" w:space="0" w:color="CFCFCF"/>
                  </w:divBdr>
                  <w:divsChild>
                    <w:div w:id="2297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5986">
          <w:marLeft w:val="0"/>
          <w:marRight w:val="0"/>
          <w:marTop w:val="0"/>
          <w:marBottom w:val="0"/>
          <w:divBdr>
            <w:top w:val="none" w:sz="0" w:space="0" w:color="auto"/>
            <w:left w:val="none" w:sz="0" w:space="0" w:color="auto"/>
            <w:bottom w:val="none" w:sz="0" w:space="0" w:color="auto"/>
            <w:right w:val="none" w:sz="0" w:space="0" w:color="auto"/>
          </w:divBdr>
          <w:divsChild>
            <w:div w:id="2070224818">
              <w:marLeft w:val="45"/>
              <w:marRight w:val="30"/>
              <w:marTop w:val="30"/>
              <w:marBottom w:val="0"/>
              <w:divBdr>
                <w:top w:val="none" w:sz="0" w:space="0" w:color="auto"/>
                <w:left w:val="none" w:sz="0" w:space="0" w:color="auto"/>
                <w:bottom w:val="none" w:sz="0" w:space="0" w:color="auto"/>
                <w:right w:val="none" w:sz="0" w:space="0" w:color="auto"/>
              </w:divBdr>
              <w:divsChild>
                <w:div w:id="843014097">
                  <w:marLeft w:val="0"/>
                  <w:marRight w:val="0"/>
                  <w:marTop w:val="0"/>
                  <w:marBottom w:val="0"/>
                  <w:divBdr>
                    <w:top w:val="single" w:sz="6" w:space="0" w:color="CFCFCF"/>
                    <w:left w:val="single" w:sz="6" w:space="0" w:color="CFCFCF"/>
                    <w:bottom w:val="single" w:sz="6" w:space="0" w:color="CFCFCF"/>
                    <w:right w:val="single" w:sz="6" w:space="0" w:color="CFCFCF"/>
                  </w:divBdr>
                  <w:divsChild>
                    <w:div w:id="21354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888">
              <w:marLeft w:val="45"/>
              <w:marRight w:val="30"/>
              <w:marTop w:val="30"/>
              <w:marBottom w:val="0"/>
              <w:divBdr>
                <w:top w:val="none" w:sz="0" w:space="0" w:color="auto"/>
                <w:left w:val="none" w:sz="0" w:space="0" w:color="auto"/>
                <w:bottom w:val="none" w:sz="0" w:space="0" w:color="auto"/>
                <w:right w:val="none" w:sz="0" w:space="0" w:color="auto"/>
              </w:divBdr>
              <w:divsChild>
                <w:div w:id="943422296">
                  <w:marLeft w:val="0"/>
                  <w:marRight w:val="0"/>
                  <w:marTop w:val="0"/>
                  <w:marBottom w:val="0"/>
                  <w:divBdr>
                    <w:top w:val="single" w:sz="6" w:space="0" w:color="CFCFCF"/>
                    <w:left w:val="single" w:sz="6" w:space="0" w:color="CFCFCF"/>
                    <w:bottom w:val="single" w:sz="6" w:space="0" w:color="CFCFCF"/>
                    <w:right w:val="single" w:sz="6" w:space="0" w:color="CFCFCF"/>
                  </w:divBdr>
                  <w:divsChild>
                    <w:div w:id="1708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433</Words>
  <Characters>2472</Characters>
  <Application>Microsoft Office Word</Application>
  <DocSecurity>0</DocSecurity>
  <Lines>20</Lines>
  <Paragraphs>5</Paragraphs>
  <ScaleCrop>false</ScaleCrop>
  <Company>微软公司</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张佚名</dc:creator>
  <cp:lastModifiedBy>张佚名</cp:lastModifiedBy>
  <cp:revision>13</cp:revision>
  <cp:lastPrinted>2025-01-21T00:55:00Z</cp:lastPrinted>
  <dcterms:created xsi:type="dcterms:W3CDTF">2025-01-20T11:53:00Z</dcterms:created>
  <dcterms:modified xsi:type="dcterms:W3CDTF">2025-01-23T08:32:00Z</dcterms:modified>
</cp:coreProperties>
</file>